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F4899" w14:textId="03B782DE" w:rsidR="002C2B9F" w:rsidRPr="00E47A0F" w:rsidRDefault="006D1B7D" w:rsidP="008036F8">
      <w:pPr>
        <w:pStyle w:val="Title"/>
        <w:spacing w:line="360" w:lineRule="auto"/>
        <w:jc w:val="both"/>
        <w:rPr>
          <w:rStyle w:val="normaltextrun"/>
          <w:rFonts w:ascii="Times New Roman" w:hAnsi="Times New Roman" w:cs="Times New Roman"/>
          <w:lang w:val="en-US"/>
        </w:rPr>
      </w:pPr>
      <w:r w:rsidRPr="00E47A0F">
        <w:rPr>
          <w:rStyle w:val="normaltextrun"/>
          <w:rFonts w:ascii="Times New Roman" w:hAnsi="Times New Roman" w:cs="Times New Roman"/>
          <w:lang w:val="en-US"/>
        </w:rPr>
        <w:t>C</w:t>
      </w:r>
      <w:r w:rsidR="002C2B9F" w:rsidRPr="00E47A0F">
        <w:rPr>
          <w:rStyle w:val="normaltextrun"/>
          <w:rFonts w:ascii="Times New Roman" w:hAnsi="Times New Roman" w:cs="Times New Roman"/>
          <w:lang w:val="en-US"/>
        </w:rPr>
        <w:t>ause</w:t>
      </w:r>
      <w:r w:rsidR="008C25AF" w:rsidRPr="00E47A0F">
        <w:rPr>
          <w:rStyle w:val="normaltextrun"/>
          <w:rFonts w:ascii="Times New Roman" w:hAnsi="Times New Roman" w:cs="Times New Roman"/>
          <w:lang w:val="en-US"/>
        </w:rPr>
        <w:t xml:space="preserve"> </w:t>
      </w:r>
      <w:r w:rsidR="002C2B9F" w:rsidRPr="00E47A0F">
        <w:rPr>
          <w:rStyle w:val="normaltextrun"/>
          <w:rFonts w:ascii="Times New Roman" w:hAnsi="Times New Roman" w:cs="Times New Roman"/>
          <w:lang w:val="en-US"/>
        </w:rPr>
        <w:t xml:space="preserve">and response to inequalities </w:t>
      </w:r>
      <w:r w:rsidR="001809B4" w:rsidRPr="00E47A0F">
        <w:rPr>
          <w:rStyle w:val="normaltextrun"/>
          <w:rFonts w:ascii="Times New Roman" w:hAnsi="Times New Roman" w:cs="Times New Roman"/>
          <w:lang w:val="en-US"/>
        </w:rPr>
        <w:t>in the indentured labour diaspora</w:t>
      </w:r>
      <w:r w:rsidRPr="00E47A0F">
        <w:rPr>
          <w:rStyle w:val="normaltextrun"/>
          <w:rFonts w:ascii="Times New Roman" w:hAnsi="Times New Roman" w:cs="Times New Roman"/>
          <w:lang w:val="en-US"/>
        </w:rPr>
        <w:t>: A framework for analysis</w:t>
      </w:r>
    </w:p>
    <w:p w14:paraId="4F74D1C2" w14:textId="77777777" w:rsidR="002C2B9F" w:rsidRPr="00E47A0F" w:rsidRDefault="002C2B9F" w:rsidP="008036F8">
      <w:pPr>
        <w:pStyle w:val="Subtitle"/>
        <w:jc w:val="both"/>
        <w:rPr>
          <w:rFonts w:ascii="Times New Roman" w:hAnsi="Times New Roman" w:cs="Times New Roman"/>
          <w:lang w:val="en-US"/>
        </w:rPr>
      </w:pPr>
      <w:r w:rsidRPr="00E47A0F">
        <w:rPr>
          <w:rFonts w:ascii="Times New Roman" w:hAnsi="Times New Roman" w:cs="Times New Roman"/>
          <w:lang w:val="en-US"/>
        </w:rPr>
        <w:t xml:space="preserve">Farzana Gounder (IPU New Zealand Tertiary Institute, New Zealand) </w:t>
      </w:r>
    </w:p>
    <w:p w14:paraId="62D695B2" w14:textId="2305A093" w:rsidR="002C2B9F" w:rsidRPr="00E47A0F" w:rsidRDefault="002C2B9F" w:rsidP="008036F8">
      <w:pPr>
        <w:pStyle w:val="Subtitle"/>
        <w:jc w:val="both"/>
        <w:rPr>
          <w:rFonts w:ascii="Times New Roman" w:hAnsi="Times New Roman" w:cs="Times New Roman"/>
          <w:lang w:val="en-US"/>
        </w:rPr>
      </w:pPr>
      <w:r w:rsidRPr="00E47A0F">
        <w:rPr>
          <w:rFonts w:ascii="Times New Roman" w:hAnsi="Times New Roman" w:cs="Times New Roman"/>
          <w:lang w:val="en-US"/>
        </w:rPr>
        <w:t xml:space="preserve">Maurits </w:t>
      </w:r>
      <w:r w:rsidR="00140D1A" w:rsidRPr="00E47A0F">
        <w:rPr>
          <w:rFonts w:ascii="Times New Roman" w:hAnsi="Times New Roman" w:cs="Times New Roman"/>
          <w:lang w:val="en-US"/>
        </w:rPr>
        <w:t xml:space="preserve">S. </w:t>
      </w:r>
      <w:r w:rsidRPr="00E47A0F">
        <w:rPr>
          <w:rFonts w:ascii="Times New Roman" w:hAnsi="Times New Roman" w:cs="Times New Roman"/>
          <w:lang w:val="en-US"/>
        </w:rPr>
        <w:t>Hassankhan (Anton de Kom Universiteit, Suriname)</w:t>
      </w:r>
    </w:p>
    <w:p w14:paraId="672A6659" w14:textId="77777777" w:rsidR="002C2B9F" w:rsidRPr="00E47A0F" w:rsidRDefault="002C2B9F" w:rsidP="008036F8">
      <w:pPr>
        <w:jc w:val="both"/>
        <w:rPr>
          <w:rFonts w:ascii="Times New Roman" w:hAnsi="Times New Roman" w:cs="Times New Roman"/>
          <w:lang w:val="en-US"/>
        </w:rPr>
      </w:pPr>
    </w:p>
    <w:p w14:paraId="48FD2CFD" w14:textId="77777777" w:rsidR="002C2B9F" w:rsidRPr="00E47A0F" w:rsidRDefault="002C2B9F" w:rsidP="008036F8">
      <w:pPr>
        <w:pStyle w:val="Heading1"/>
        <w:jc w:val="both"/>
        <w:rPr>
          <w:rFonts w:ascii="Times New Roman" w:hAnsi="Times New Roman" w:cs="Times New Roman"/>
          <w:lang w:val="en-US"/>
        </w:rPr>
      </w:pPr>
      <w:r w:rsidRPr="00E47A0F">
        <w:rPr>
          <w:rFonts w:ascii="Times New Roman" w:hAnsi="Times New Roman" w:cs="Times New Roman"/>
          <w:lang w:val="en-US"/>
        </w:rPr>
        <w:t xml:space="preserve">Acknowledgements </w:t>
      </w:r>
    </w:p>
    <w:p w14:paraId="7ED1FF71" w14:textId="2AE5C4FC" w:rsidR="002C2B9F" w:rsidRPr="00E47A0F" w:rsidRDefault="00AD5A14" w:rsidP="008036F8">
      <w:pPr>
        <w:spacing w:line="360" w:lineRule="auto"/>
        <w:jc w:val="both"/>
        <w:rPr>
          <w:rFonts w:ascii="Times New Roman" w:hAnsi="Times New Roman" w:cs="Times New Roman"/>
          <w:lang w:val="en-US"/>
        </w:rPr>
      </w:pPr>
      <w:r w:rsidRPr="00AD5A14">
        <w:rPr>
          <w:rFonts w:ascii="Times New Roman" w:eastAsia="Georgia" w:hAnsi="Times New Roman" w:cs="Times New Roman"/>
          <w:lang w:val="en-US"/>
        </w:rPr>
        <w:t xml:space="preserve">This framework arose in response to Vijaya Teelock’s keynote address at the 2018 </w:t>
      </w:r>
      <w:r w:rsidRPr="00AD5A14">
        <w:rPr>
          <w:rFonts w:ascii="Times New Roman" w:eastAsia="Georgia" w:hAnsi="Times New Roman" w:cs="Times New Roman"/>
          <w:i/>
          <w:lang w:val="en-US"/>
        </w:rPr>
        <w:t xml:space="preserve">Legacy of Slavery and Indentured Labour, Migration and Diaspora </w:t>
      </w:r>
      <w:r w:rsidRPr="00AD5A14">
        <w:rPr>
          <w:rFonts w:ascii="Times New Roman" w:eastAsia="Georgia" w:hAnsi="Times New Roman" w:cs="Times New Roman"/>
          <w:lang w:val="en-US"/>
        </w:rPr>
        <w:t>conference in Suriname.  Teelock noted a significant gap in indenture studies: a dearth of comparative studies across the indentured diasporas.  Through the proposed framework, we provide a platform for the systematic and comparative analysis of causality, consequence and response to acts of inequality, from the perspective of the plantation-based individuals.</w:t>
      </w:r>
      <w:r w:rsidR="00583DBD">
        <w:rPr>
          <w:rFonts w:ascii="Times New Roman" w:eastAsia="Georgia" w:hAnsi="Times New Roman" w:cs="Times New Roman"/>
          <w:lang w:val="en-US"/>
        </w:rPr>
        <w:t xml:space="preserve">  </w:t>
      </w:r>
      <w:r w:rsidR="002C2B9F" w:rsidRPr="00E47A0F">
        <w:rPr>
          <w:rFonts w:ascii="Times New Roman" w:hAnsi="Times New Roman" w:cs="Times New Roman"/>
          <w:lang w:val="en-US"/>
        </w:rPr>
        <w:t xml:space="preserve">The authors would like to thank the following reviewers, in alphabetical order, for their feedback on the draft version of the framework: Ashutosh Kumar, Brij Lal, Radica Mahase, Satyendra Peerthum, Lomarsh Roopnarine, Brinsley Samaroo, Vijayalakshmi Teelock, Goolam </w:t>
      </w:r>
      <w:r w:rsidR="002C2B9F" w:rsidRPr="00E47A0F">
        <w:rPr>
          <w:rFonts w:ascii="Times New Roman" w:hAnsi="Times New Roman" w:cs="Times New Roman"/>
          <w:noProof/>
          <w:lang w:val="en-US"/>
        </w:rPr>
        <w:t>Vahed</w:t>
      </w:r>
    </w:p>
    <w:p w14:paraId="0A37501D" w14:textId="77777777" w:rsidR="002C2B9F" w:rsidRPr="00E47A0F" w:rsidRDefault="002C2B9F" w:rsidP="008036F8">
      <w:pPr>
        <w:spacing w:line="360" w:lineRule="auto"/>
        <w:jc w:val="both"/>
        <w:rPr>
          <w:rFonts w:ascii="Times New Roman" w:hAnsi="Times New Roman" w:cs="Times New Roman"/>
          <w:lang w:val="en-US"/>
        </w:rPr>
      </w:pPr>
    </w:p>
    <w:p w14:paraId="5DAB6C7B" w14:textId="77777777" w:rsidR="002C2B9F" w:rsidRPr="00E47A0F" w:rsidRDefault="002C2B9F" w:rsidP="008036F8">
      <w:pPr>
        <w:jc w:val="both"/>
        <w:rPr>
          <w:rFonts w:ascii="Times New Roman" w:hAnsi="Times New Roman" w:cs="Times New Roman"/>
          <w:lang w:val="en-US"/>
        </w:rPr>
      </w:pPr>
    </w:p>
    <w:p w14:paraId="3CB43997" w14:textId="77777777" w:rsidR="002C2B9F" w:rsidRPr="00E47A0F" w:rsidRDefault="002C2B9F" w:rsidP="008036F8">
      <w:pPr>
        <w:pStyle w:val="Heading1"/>
        <w:spacing w:line="360" w:lineRule="auto"/>
        <w:jc w:val="both"/>
        <w:rPr>
          <w:rFonts w:ascii="Times New Roman" w:hAnsi="Times New Roman" w:cs="Times New Roman"/>
          <w:sz w:val="18"/>
          <w:szCs w:val="18"/>
        </w:rPr>
      </w:pPr>
      <w:r w:rsidRPr="00E47A0F">
        <w:rPr>
          <w:rStyle w:val="normaltextrun"/>
          <w:rFonts w:ascii="Times New Roman" w:hAnsi="Times New Roman" w:cs="Times New Roman"/>
          <w:lang w:val="en-US"/>
        </w:rPr>
        <w:br w:type="column"/>
      </w:r>
      <w:r w:rsidRPr="00E47A0F">
        <w:rPr>
          <w:rStyle w:val="normaltextrun"/>
          <w:rFonts w:ascii="Times New Roman" w:hAnsi="Times New Roman" w:cs="Times New Roman"/>
          <w:lang w:val="en-US"/>
        </w:rPr>
        <w:lastRenderedPageBreak/>
        <w:t>Abstract </w:t>
      </w:r>
      <w:r w:rsidRPr="00E47A0F">
        <w:rPr>
          <w:rStyle w:val="eop"/>
          <w:rFonts w:ascii="Times New Roman" w:hAnsi="Times New Roman" w:cs="Times New Roman"/>
        </w:rPr>
        <w:t> </w:t>
      </w:r>
    </w:p>
    <w:p w14:paraId="42FA7D04" w14:textId="77777777" w:rsidR="00AD5A14" w:rsidRPr="00AD5A14" w:rsidRDefault="00AD5A14" w:rsidP="008036F8">
      <w:pPr>
        <w:spacing w:line="360" w:lineRule="auto"/>
        <w:jc w:val="both"/>
        <w:rPr>
          <w:rFonts w:ascii="Times New Roman" w:hAnsi="Times New Roman" w:cs="Times New Roman"/>
          <w:sz w:val="24"/>
          <w:szCs w:val="24"/>
          <w:lang w:val="en-US"/>
        </w:rPr>
      </w:pPr>
      <w:r w:rsidRPr="00AD5A14">
        <w:rPr>
          <w:rFonts w:ascii="Times New Roman" w:hAnsi="Times New Roman" w:cs="Times New Roman"/>
          <w:sz w:val="24"/>
          <w:szCs w:val="24"/>
          <w:lang w:val="en-US"/>
        </w:rPr>
        <w:t>The lack of systematic comparative research across the indentured diasporas is a significant gap in indenture studies.  Through the proposed CARE (</w:t>
      </w:r>
      <w:r w:rsidRPr="00AD5A14">
        <w:rPr>
          <w:rFonts w:ascii="Times New Roman" w:hAnsi="Times New Roman" w:cs="Times New Roman"/>
          <w:b/>
          <w:sz w:val="24"/>
          <w:szCs w:val="24"/>
          <w:lang w:val="en-US"/>
        </w:rPr>
        <w:t>Ca</w:t>
      </w:r>
      <w:r w:rsidRPr="00AD5A14">
        <w:rPr>
          <w:rFonts w:ascii="Times New Roman" w:hAnsi="Times New Roman" w:cs="Times New Roman"/>
          <w:sz w:val="24"/>
          <w:szCs w:val="24"/>
          <w:lang w:val="en-US"/>
        </w:rPr>
        <w:t xml:space="preserve">use and </w:t>
      </w:r>
      <w:r w:rsidRPr="00AD5A14">
        <w:rPr>
          <w:rFonts w:ascii="Times New Roman" w:hAnsi="Times New Roman" w:cs="Times New Roman"/>
          <w:b/>
          <w:sz w:val="24"/>
          <w:szCs w:val="24"/>
          <w:lang w:val="en-US"/>
        </w:rPr>
        <w:t>Re</w:t>
      </w:r>
      <w:r w:rsidRPr="00AD5A14">
        <w:rPr>
          <w:rFonts w:ascii="Times New Roman" w:hAnsi="Times New Roman" w:cs="Times New Roman"/>
          <w:sz w:val="24"/>
          <w:szCs w:val="24"/>
          <w:lang w:val="en-US"/>
        </w:rPr>
        <w:t>sponse to inequalities in the indentured labour diaspora) framework, we provide a platform for the systematic and comparative analysis of causality, consequence and response to acts of inequality, from the perspective of the plantation-based individuals.</w:t>
      </w:r>
    </w:p>
    <w:p w14:paraId="64FB1315" w14:textId="715E4F1A" w:rsidR="002C2B9F" w:rsidRPr="00E47A0F" w:rsidRDefault="00C320EA" w:rsidP="008036F8">
      <w:pPr>
        <w:spacing w:line="360" w:lineRule="auto"/>
        <w:jc w:val="both"/>
        <w:rPr>
          <w:rStyle w:val="normaltextrun"/>
          <w:rFonts w:ascii="Times New Roman" w:hAnsi="Times New Roman" w:cs="Times New Roman"/>
          <w:color w:val="000000" w:themeColor="text1"/>
          <w:sz w:val="24"/>
          <w:szCs w:val="24"/>
        </w:rPr>
      </w:pPr>
      <w:r w:rsidRPr="00E47A0F">
        <w:rPr>
          <w:rFonts w:ascii="Times New Roman" w:eastAsia="Calibri" w:hAnsi="Times New Roman" w:cs="Times New Roman"/>
          <w:sz w:val="24"/>
          <w:szCs w:val="24"/>
        </w:rPr>
        <w:t xml:space="preserve">This research demonstrates how </w:t>
      </w:r>
      <w:r w:rsidR="00B346A3" w:rsidRPr="00E47A0F">
        <w:rPr>
          <w:rFonts w:ascii="Times New Roman" w:eastAsia="Calibri" w:hAnsi="Times New Roman" w:cs="Times New Roman"/>
          <w:sz w:val="24"/>
          <w:szCs w:val="24"/>
        </w:rPr>
        <w:t xml:space="preserve">the juxtaposition of institutional practices with </w:t>
      </w:r>
      <w:r w:rsidRPr="00E47A0F">
        <w:rPr>
          <w:rFonts w:ascii="Times New Roman" w:eastAsia="Calibri" w:hAnsi="Times New Roman" w:cs="Times New Roman"/>
          <w:sz w:val="24"/>
          <w:szCs w:val="24"/>
        </w:rPr>
        <w:t>c</w:t>
      </w:r>
      <w:r w:rsidR="002C2B9F" w:rsidRPr="00E47A0F">
        <w:rPr>
          <w:rFonts w:ascii="Times New Roman" w:eastAsia="Calibri" w:hAnsi="Times New Roman" w:cs="Times New Roman"/>
          <w:sz w:val="24"/>
          <w:szCs w:val="24"/>
        </w:rPr>
        <w:t xml:space="preserve">omplex and inter-related </w:t>
      </w:r>
      <w:r w:rsidR="002C2B9F" w:rsidRPr="00E47A0F">
        <w:rPr>
          <w:rFonts w:ascii="Times New Roman" w:hAnsi="Times New Roman" w:cs="Times New Roman"/>
          <w:sz w:val="24"/>
          <w:szCs w:val="24"/>
        </w:rPr>
        <w:t xml:space="preserve">social, structural and individualized factors created pathways </w:t>
      </w:r>
      <w:r w:rsidR="002C2B9F" w:rsidRPr="00E47A0F">
        <w:rPr>
          <w:rFonts w:ascii="Times New Roman" w:eastAsia="Calibri" w:hAnsi="Times New Roman" w:cs="Times New Roman"/>
          <w:sz w:val="24"/>
          <w:szCs w:val="24"/>
        </w:rPr>
        <w:t xml:space="preserve">of causality, consequence and response to inequitable social and material structures within which the plantation-based individuals lived and worked.   </w:t>
      </w:r>
      <w:r w:rsidR="002C2B9F" w:rsidRPr="00E47A0F">
        <w:rPr>
          <w:rStyle w:val="normaltextrun"/>
          <w:rFonts w:ascii="Times New Roman" w:hAnsi="Times New Roman" w:cs="Times New Roman"/>
          <w:color w:val="000000"/>
          <w:sz w:val="24"/>
          <w:szCs w:val="24"/>
          <w:shd w:val="clear" w:color="auto" w:fill="FFFFFF"/>
        </w:rPr>
        <w:t>Through the consolidation of these factors, the study proposes a multi-level theoretical framework for the systematic analysis across the indentured colonies of (i) causal factors and pathways for discrimination</w:t>
      </w:r>
      <w:r w:rsidR="00D75682" w:rsidRPr="00E47A0F">
        <w:rPr>
          <w:rStyle w:val="normaltextrun"/>
          <w:rFonts w:ascii="Times New Roman" w:hAnsi="Times New Roman" w:cs="Times New Roman"/>
          <w:color w:val="000000"/>
          <w:sz w:val="24"/>
          <w:szCs w:val="24"/>
          <w:shd w:val="clear" w:color="auto" w:fill="FFFFFF"/>
        </w:rPr>
        <w:t xml:space="preserve"> in the allocation of resources</w:t>
      </w:r>
      <w:r w:rsidR="002C2B9F" w:rsidRPr="00E47A0F">
        <w:rPr>
          <w:rStyle w:val="normaltextrun"/>
          <w:rFonts w:ascii="Times New Roman" w:hAnsi="Times New Roman" w:cs="Times New Roman"/>
          <w:color w:val="000000"/>
          <w:sz w:val="24"/>
          <w:szCs w:val="24"/>
          <w:shd w:val="clear" w:color="auto" w:fill="FFFFFF"/>
        </w:rPr>
        <w:t xml:space="preserve">, (ii) resultant health </w:t>
      </w:r>
      <w:r w:rsidRPr="00E47A0F">
        <w:rPr>
          <w:rStyle w:val="normaltextrun"/>
          <w:rFonts w:ascii="Times New Roman" w:hAnsi="Times New Roman" w:cs="Times New Roman"/>
          <w:color w:val="000000"/>
          <w:sz w:val="24"/>
          <w:szCs w:val="24"/>
          <w:shd w:val="clear" w:color="auto" w:fill="FFFFFF"/>
        </w:rPr>
        <w:t>outcomes</w:t>
      </w:r>
      <w:r w:rsidR="002C2B9F" w:rsidRPr="00E47A0F">
        <w:rPr>
          <w:rStyle w:val="normaltextrun"/>
          <w:rFonts w:ascii="Times New Roman" w:hAnsi="Times New Roman" w:cs="Times New Roman"/>
          <w:color w:val="000000"/>
          <w:sz w:val="24"/>
          <w:szCs w:val="24"/>
          <w:shd w:val="clear" w:color="auto" w:fill="FFFFFF"/>
        </w:rPr>
        <w:t xml:space="preserve"> and (iii) the </w:t>
      </w:r>
      <w:r w:rsidR="00305543" w:rsidRPr="00E47A0F">
        <w:rPr>
          <w:rStyle w:val="normaltextrun"/>
          <w:rFonts w:ascii="Times New Roman" w:hAnsi="Times New Roman" w:cs="Times New Roman"/>
          <w:color w:val="000000"/>
          <w:sz w:val="24"/>
          <w:szCs w:val="24"/>
          <w:shd w:val="clear" w:color="auto" w:fill="FFFFFF"/>
        </w:rPr>
        <w:t xml:space="preserve">strategies that the plantation-based individuals utilized in </w:t>
      </w:r>
      <w:r w:rsidR="002C2B9F" w:rsidRPr="00E47A0F">
        <w:rPr>
          <w:rStyle w:val="normaltextrun"/>
          <w:rFonts w:ascii="Times New Roman" w:hAnsi="Times New Roman" w:cs="Times New Roman"/>
          <w:color w:val="000000"/>
          <w:sz w:val="24"/>
          <w:szCs w:val="24"/>
          <w:shd w:val="clear" w:color="auto" w:fill="FFFFFF"/>
        </w:rPr>
        <w:t>response to perceived and actual acts of inequalities.</w:t>
      </w:r>
    </w:p>
    <w:p w14:paraId="1AB9077F" w14:textId="6939EB0B" w:rsidR="00C320EA" w:rsidRDefault="00C320EA" w:rsidP="008036F8">
      <w:pPr>
        <w:spacing w:line="360" w:lineRule="auto"/>
        <w:jc w:val="both"/>
        <w:rPr>
          <w:rStyle w:val="normaltextrun"/>
          <w:rFonts w:ascii="Times New Roman" w:hAnsi="Times New Roman" w:cs="Times New Roman"/>
          <w:color w:val="000000"/>
          <w:sz w:val="24"/>
          <w:szCs w:val="24"/>
          <w:shd w:val="clear" w:color="auto" w:fill="FFFFFF"/>
        </w:rPr>
      </w:pPr>
      <w:r w:rsidRPr="00E47A0F">
        <w:rPr>
          <w:rStyle w:val="normaltextrun"/>
          <w:rFonts w:ascii="Times New Roman" w:hAnsi="Times New Roman" w:cs="Times New Roman"/>
          <w:color w:val="000000"/>
          <w:sz w:val="24"/>
          <w:szCs w:val="24"/>
          <w:shd w:val="clear" w:color="auto" w:fill="FFFFFF"/>
        </w:rPr>
        <w:t xml:space="preserve">Central to the analysis is the consideration of </w:t>
      </w:r>
      <w:r w:rsidR="00BC42F7" w:rsidRPr="00E47A0F">
        <w:rPr>
          <w:rStyle w:val="normaltextrun"/>
          <w:rFonts w:ascii="Times New Roman" w:hAnsi="Times New Roman" w:cs="Times New Roman"/>
          <w:color w:val="000000"/>
          <w:sz w:val="24"/>
          <w:szCs w:val="24"/>
          <w:shd w:val="clear" w:color="auto" w:fill="FFFFFF"/>
        </w:rPr>
        <w:t xml:space="preserve">how </w:t>
      </w:r>
      <w:r w:rsidRPr="00E47A0F">
        <w:rPr>
          <w:rStyle w:val="normaltextrun"/>
          <w:rFonts w:ascii="Times New Roman" w:hAnsi="Times New Roman" w:cs="Times New Roman"/>
          <w:color w:val="000000"/>
          <w:sz w:val="24"/>
          <w:szCs w:val="24"/>
          <w:shd w:val="clear" w:color="auto" w:fill="FFFFFF"/>
        </w:rPr>
        <w:t>institutional level policies and processes influenced the (in)access to resources and thus mediated the ability to carry out social strategies and achieve equitable health outcomes.</w:t>
      </w:r>
    </w:p>
    <w:p w14:paraId="6DFAF60F" w14:textId="77777777" w:rsidR="00AD5A14" w:rsidRPr="00E47A0F" w:rsidRDefault="00AD5A14" w:rsidP="008036F8">
      <w:pPr>
        <w:spacing w:line="360" w:lineRule="auto"/>
        <w:jc w:val="both"/>
        <w:rPr>
          <w:rStyle w:val="normaltextrun"/>
          <w:rFonts w:ascii="Times New Roman" w:hAnsi="Times New Roman" w:cs="Times New Roman"/>
          <w:color w:val="000000" w:themeColor="text1"/>
          <w:sz w:val="24"/>
          <w:szCs w:val="24"/>
        </w:rPr>
      </w:pPr>
    </w:p>
    <w:p w14:paraId="02EB378F" w14:textId="77777777" w:rsidR="00EA2E8D" w:rsidRPr="00E47A0F" w:rsidRDefault="00EA2E8D" w:rsidP="008036F8">
      <w:pPr>
        <w:spacing w:line="360" w:lineRule="auto"/>
        <w:jc w:val="both"/>
        <w:rPr>
          <w:rStyle w:val="normaltextrun"/>
          <w:rFonts w:ascii="Times New Roman" w:eastAsia="Calibri" w:hAnsi="Times New Roman" w:cs="Times New Roman"/>
          <w:sz w:val="24"/>
          <w:szCs w:val="24"/>
        </w:rPr>
      </w:pPr>
    </w:p>
    <w:p w14:paraId="6A05A809" w14:textId="77777777" w:rsidR="002C2B9F" w:rsidRPr="00E47A0F" w:rsidRDefault="002C2B9F" w:rsidP="008036F8">
      <w:pPr>
        <w:pStyle w:val="paragraph"/>
        <w:spacing w:before="0" w:beforeAutospacing="0" w:after="0" w:afterAutospacing="0" w:line="360" w:lineRule="auto"/>
        <w:jc w:val="both"/>
        <w:textAlignment w:val="baseline"/>
        <w:rPr>
          <w:rStyle w:val="normaltextrun"/>
          <w:lang w:val="en-US"/>
        </w:rPr>
      </w:pPr>
    </w:p>
    <w:p w14:paraId="3E7A9F1C" w14:textId="77777777" w:rsidR="002C2B9F" w:rsidRPr="00E47A0F" w:rsidRDefault="002C2B9F" w:rsidP="008036F8">
      <w:pPr>
        <w:pStyle w:val="Heading1"/>
        <w:spacing w:line="360" w:lineRule="auto"/>
        <w:jc w:val="both"/>
        <w:rPr>
          <w:rFonts w:ascii="Times New Roman" w:hAnsi="Times New Roman" w:cs="Times New Roman"/>
        </w:rPr>
      </w:pPr>
      <w:r w:rsidRPr="00E47A0F">
        <w:rPr>
          <w:rFonts w:ascii="Times New Roman" w:hAnsi="Times New Roman" w:cs="Times New Roman"/>
        </w:rPr>
        <w:br w:type="column"/>
      </w:r>
      <w:r w:rsidRPr="00E47A0F">
        <w:rPr>
          <w:rFonts w:ascii="Times New Roman" w:hAnsi="Times New Roman" w:cs="Times New Roman"/>
        </w:rPr>
        <w:lastRenderedPageBreak/>
        <w:t>Introduction</w:t>
      </w:r>
    </w:p>
    <w:p w14:paraId="4D23AFFD" w14:textId="75410727" w:rsidR="002C2B9F" w:rsidRPr="00E47A0F" w:rsidRDefault="002C2B9F" w:rsidP="008036F8">
      <w:p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Prior research has investigated the</w:t>
      </w:r>
      <w:r w:rsidR="00D714B5" w:rsidRPr="00E47A0F">
        <w:rPr>
          <w:rFonts w:ascii="Times New Roman" w:hAnsi="Times New Roman" w:cs="Times New Roman"/>
          <w:sz w:val="24"/>
          <w:szCs w:val="24"/>
        </w:rPr>
        <w:t xml:space="preserve"> institutionali</w:t>
      </w:r>
      <w:r w:rsidR="00AC3CC2" w:rsidRPr="00E47A0F">
        <w:rPr>
          <w:rFonts w:ascii="Times New Roman" w:hAnsi="Times New Roman" w:cs="Times New Roman"/>
          <w:sz w:val="24"/>
          <w:szCs w:val="24"/>
        </w:rPr>
        <w:t>z</w:t>
      </w:r>
      <w:r w:rsidR="00D714B5" w:rsidRPr="00E47A0F">
        <w:rPr>
          <w:rFonts w:ascii="Times New Roman" w:hAnsi="Times New Roman" w:cs="Times New Roman"/>
          <w:sz w:val="24"/>
          <w:szCs w:val="24"/>
        </w:rPr>
        <w:t>ed</w:t>
      </w:r>
      <w:r w:rsidRPr="00E47A0F">
        <w:rPr>
          <w:rFonts w:ascii="Times New Roman" w:hAnsi="Times New Roman" w:cs="Times New Roman"/>
          <w:sz w:val="24"/>
          <w:szCs w:val="24"/>
        </w:rPr>
        <w:t xml:space="preserve"> social and </w:t>
      </w:r>
      <w:r w:rsidR="0007343F" w:rsidRPr="00E47A0F">
        <w:rPr>
          <w:rFonts w:ascii="Times New Roman" w:hAnsi="Times New Roman" w:cs="Times New Roman"/>
          <w:sz w:val="24"/>
          <w:szCs w:val="24"/>
        </w:rPr>
        <w:t>material</w:t>
      </w:r>
      <w:r w:rsidRPr="00E47A0F">
        <w:rPr>
          <w:rFonts w:ascii="Times New Roman" w:hAnsi="Times New Roman" w:cs="Times New Roman"/>
          <w:sz w:val="24"/>
          <w:szCs w:val="24"/>
        </w:rPr>
        <w:t xml:space="preserve"> factors that were present on the colonial indenture plantations and within which the labourers lived and worked.  Such research </w:t>
      </w:r>
      <w:r w:rsidRPr="00E47A0F">
        <w:rPr>
          <w:rFonts w:ascii="Times New Roman" w:hAnsi="Times New Roman" w:cs="Times New Roman"/>
          <w:noProof/>
          <w:sz w:val="24"/>
          <w:szCs w:val="24"/>
        </w:rPr>
        <w:t>provides</w:t>
      </w:r>
      <w:r w:rsidRPr="00E47A0F">
        <w:rPr>
          <w:rFonts w:ascii="Times New Roman" w:hAnsi="Times New Roman" w:cs="Times New Roman"/>
          <w:sz w:val="24"/>
          <w:szCs w:val="24"/>
        </w:rPr>
        <w:t xml:space="preserve"> </w:t>
      </w:r>
      <w:r w:rsidRPr="00E47A0F">
        <w:rPr>
          <w:rFonts w:ascii="Times New Roman" w:hAnsi="Times New Roman" w:cs="Times New Roman"/>
          <w:noProof/>
          <w:sz w:val="24"/>
          <w:szCs w:val="24"/>
        </w:rPr>
        <w:t>in-depth</w:t>
      </w:r>
      <w:r w:rsidRPr="00E47A0F">
        <w:rPr>
          <w:rFonts w:ascii="Times New Roman" w:hAnsi="Times New Roman" w:cs="Times New Roman"/>
          <w:sz w:val="24"/>
          <w:szCs w:val="24"/>
        </w:rPr>
        <w:t xml:space="preserve"> analyses of the consequences these factors</w:t>
      </w:r>
      <w:r w:rsidR="0007343F" w:rsidRPr="00E47A0F">
        <w:rPr>
          <w:rFonts w:ascii="Times New Roman" w:hAnsi="Times New Roman" w:cs="Times New Roman"/>
          <w:sz w:val="24"/>
          <w:szCs w:val="24"/>
        </w:rPr>
        <w:t xml:space="preserve"> had</w:t>
      </w:r>
      <w:r w:rsidRPr="00E47A0F">
        <w:rPr>
          <w:rFonts w:ascii="Times New Roman" w:hAnsi="Times New Roman" w:cs="Times New Roman"/>
          <w:sz w:val="24"/>
          <w:szCs w:val="24"/>
        </w:rPr>
        <w:t xml:space="preserve"> for the </w:t>
      </w:r>
      <w:r w:rsidRPr="00E47A0F">
        <w:rPr>
          <w:rFonts w:ascii="Times New Roman" w:hAnsi="Times New Roman" w:cs="Times New Roman"/>
          <w:noProof/>
          <w:sz w:val="24"/>
          <w:szCs w:val="24"/>
        </w:rPr>
        <w:t>labourers</w:t>
      </w:r>
      <w:r w:rsidR="00126A6A" w:rsidRPr="00E47A0F">
        <w:rPr>
          <w:rFonts w:ascii="Times New Roman" w:hAnsi="Times New Roman" w:cs="Times New Roman"/>
          <w:noProof/>
          <w:sz w:val="24"/>
          <w:szCs w:val="24"/>
        </w:rPr>
        <w:t xml:space="preserve"> </w:t>
      </w:r>
      <w:r w:rsidR="0007343F" w:rsidRPr="00E47A0F">
        <w:rPr>
          <w:rFonts w:ascii="Times New Roman" w:hAnsi="Times New Roman" w:cs="Times New Roman"/>
          <w:sz w:val="24"/>
          <w:szCs w:val="24"/>
        </w:rPr>
        <w:t>(</w:t>
      </w:r>
      <w:r w:rsidR="00A973F4" w:rsidRPr="00E47A0F">
        <w:rPr>
          <w:rFonts w:ascii="Times New Roman" w:hAnsi="Times New Roman" w:cs="Times New Roman"/>
          <w:sz w:val="24"/>
          <w:szCs w:val="24"/>
        </w:rPr>
        <w:t xml:space="preserve">Ali, 2004; Fowler, 2000; Gillion, 1962; </w:t>
      </w:r>
      <w:r w:rsidR="0007343F" w:rsidRPr="00E47A0F">
        <w:rPr>
          <w:rFonts w:ascii="Times New Roman" w:hAnsi="Times New Roman" w:cs="Times New Roman"/>
          <w:sz w:val="24"/>
          <w:szCs w:val="24"/>
        </w:rPr>
        <w:t>Lal,</w:t>
      </w:r>
      <w:r w:rsidR="00A973F4" w:rsidRPr="00E47A0F">
        <w:rPr>
          <w:rFonts w:ascii="Times New Roman" w:hAnsi="Times New Roman" w:cs="Times New Roman"/>
          <w:sz w:val="24"/>
          <w:szCs w:val="24"/>
        </w:rPr>
        <w:t xml:space="preserve"> 2012;</w:t>
      </w:r>
      <w:r w:rsidR="0007343F" w:rsidRPr="00E47A0F">
        <w:rPr>
          <w:rFonts w:ascii="Times New Roman" w:hAnsi="Times New Roman" w:cs="Times New Roman"/>
          <w:sz w:val="24"/>
          <w:szCs w:val="24"/>
        </w:rPr>
        <w:t xml:space="preserve"> </w:t>
      </w:r>
      <w:r w:rsidR="000A5B3D" w:rsidRPr="00E47A0F">
        <w:rPr>
          <w:rFonts w:ascii="Times New Roman" w:hAnsi="Times New Roman" w:cs="Times New Roman"/>
          <w:sz w:val="24"/>
          <w:szCs w:val="24"/>
        </w:rPr>
        <w:t xml:space="preserve">Mauritius </w:t>
      </w:r>
      <w:r w:rsidR="00BE3C41" w:rsidRPr="00E47A0F">
        <w:rPr>
          <w:rFonts w:ascii="Times New Roman" w:hAnsi="Times New Roman" w:cs="Times New Roman"/>
          <w:sz w:val="24"/>
          <w:szCs w:val="24"/>
        </w:rPr>
        <w:t>Truth and Justice Commission, 2011</w:t>
      </w:r>
      <w:r w:rsidR="00A973F4" w:rsidRPr="00E47A0F">
        <w:rPr>
          <w:rFonts w:ascii="Times New Roman" w:hAnsi="Times New Roman" w:cs="Times New Roman"/>
          <w:sz w:val="24"/>
          <w:szCs w:val="24"/>
        </w:rPr>
        <w:t>; Naidu, 2004;</w:t>
      </w:r>
      <w:r w:rsidR="0007343F" w:rsidRPr="00E47A0F">
        <w:rPr>
          <w:rFonts w:ascii="Times New Roman" w:hAnsi="Times New Roman" w:cs="Times New Roman"/>
          <w:sz w:val="24"/>
          <w:szCs w:val="24"/>
        </w:rPr>
        <w:t>)</w:t>
      </w:r>
      <w:r w:rsidRPr="00E47A0F">
        <w:rPr>
          <w:rFonts w:ascii="Times New Roman" w:hAnsi="Times New Roman" w:cs="Times New Roman"/>
          <w:sz w:val="24"/>
          <w:szCs w:val="24"/>
        </w:rPr>
        <w:t xml:space="preserve">.  </w:t>
      </w:r>
      <w:r w:rsidR="00856B9B" w:rsidRPr="00E47A0F">
        <w:rPr>
          <w:rFonts w:ascii="Times New Roman" w:hAnsi="Times New Roman" w:cs="Times New Roman"/>
          <w:sz w:val="24"/>
          <w:szCs w:val="24"/>
        </w:rPr>
        <w:t xml:space="preserve">Another rich avenue of research </w:t>
      </w:r>
      <w:r w:rsidR="00126A6A" w:rsidRPr="00E47A0F">
        <w:rPr>
          <w:rFonts w:ascii="Times New Roman" w:hAnsi="Times New Roman" w:cs="Times New Roman"/>
          <w:sz w:val="24"/>
          <w:szCs w:val="24"/>
        </w:rPr>
        <w:t>has been</w:t>
      </w:r>
      <w:r w:rsidR="00013628" w:rsidRPr="00E47A0F">
        <w:rPr>
          <w:rFonts w:ascii="Times New Roman" w:hAnsi="Times New Roman" w:cs="Times New Roman"/>
          <w:sz w:val="24"/>
          <w:szCs w:val="24"/>
        </w:rPr>
        <w:t xml:space="preserve"> the response of the labourers towards </w:t>
      </w:r>
      <w:r w:rsidR="0007343F" w:rsidRPr="00E47A0F">
        <w:rPr>
          <w:rFonts w:ascii="Times New Roman" w:hAnsi="Times New Roman" w:cs="Times New Roman"/>
          <w:sz w:val="24"/>
          <w:szCs w:val="24"/>
        </w:rPr>
        <w:t xml:space="preserve">the </w:t>
      </w:r>
      <w:r w:rsidR="00404D82" w:rsidRPr="00E47A0F">
        <w:rPr>
          <w:rFonts w:ascii="Times New Roman" w:hAnsi="Times New Roman" w:cs="Times New Roman"/>
          <w:sz w:val="24"/>
          <w:szCs w:val="24"/>
        </w:rPr>
        <w:t xml:space="preserve">macro and micro level </w:t>
      </w:r>
      <w:r w:rsidR="0007343F" w:rsidRPr="00E47A0F">
        <w:rPr>
          <w:rFonts w:ascii="Times New Roman" w:hAnsi="Times New Roman" w:cs="Times New Roman"/>
          <w:sz w:val="24"/>
          <w:szCs w:val="24"/>
        </w:rPr>
        <w:t>institutional</w:t>
      </w:r>
      <w:r w:rsidR="00404D82" w:rsidRPr="00E47A0F">
        <w:rPr>
          <w:rFonts w:ascii="Times New Roman" w:hAnsi="Times New Roman" w:cs="Times New Roman"/>
          <w:sz w:val="24"/>
          <w:szCs w:val="24"/>
        </w:rPr>
        <w:t>ized</w:t>
      </w:r>
      <w:r w:rsidR="0007343F" w:rsidRPr="00E47A0F">
        <w:rPr>
          <w:rFonts w:ascii="Times New Roman" w:hAnsi="Times New Roman" w:cs="Times New Roman"/>
          <w:sz w:val="24"/>
          <w:szCs w:val="24"/>
        </w:rPr>
        <w:t xml:space="preserve"> </w:t>
      </w:r>
      <w:r w:rsidR="00856B9B" w:rsidRPr="00E47A0F">
        <w:rPr>
          <w:rFonts w:ascii="Times New Roman" w:hAnsi="Times New Roman" w:cs="Times New Roman"/>
          <w:sz w:val="24"/>
          <w:szCs w:val="24"/>
        </w:rPr>
        <w:t>practices</w:t>
      </w:r>
      <w:r w:rsidR="00013628" w:rsidRPr="00E47A0F">
        <w:rPr>
          <w:rFonts w:ascii="Times New Roman" w:hAnsi="Times New Roman" w:cs="Times New Roman"/>
          <w:sz w:val="24"/>
          <w:szCs w:val="24"/>
        </w:rPr>
        <w:t xml:space="preserve"> of indenture</w:t>
      </w:r>
      <w:r w:rsidR="00856B9B" w:rsidRPr="00E47A0F">
        <w:rPr>
          <w:rFonts w:ascii="Times New Roman" w:hAnsi="Times New Roman" w:cs="Times New Roman"/>
          <w:sz w:val="24"/>
          <w:szCs w:val="24"/>
        </w:rPr>
        <w:t xml:space="preserve">.  Research shows that the combination of </w:t>
      </w:r>
      <w:r w:rsidR="00404D82" w:rsidRPr="00E47A0F">
        <w:rPr>
          <w:rFonts w:ascii="Times New Roman" w:hAnsi="Times New Roman" w:cs="Times New Roman"/>
          <w:sz w:val="24"/>
          <w:szCs w:val="24"/>
        </w:rPr>
        <w:t>economic, political, structural and institutional</w:t>
      </w:r>
      <w:r w:rsidR="00126A6A" w:rsidRPr="00E47A0F">
        <w:rPr>
          <w:rFonts w:ascii="Times New Roman" w:hAnsi="Times New Roman" w:cs="Times New Roman"/>
          <w:sz w:val="24"/>
          <w:szCs w:val="24"/>
        </w:rPr>
        <w:t xml:space="preserve"> </w:t>
      </w:r>
      <w:r w:rsidR="00856B9B" w:rsidRPr="00E47A0F">
        <w:rPr>
          <w:rFonts w:ascii="Times New Roman" w:hAnsi="Times New Roman" w:cs="Times New Roman"/>
          <w:sz w:val="24"/>
          <w:szCs w:val="24"/>
        </w:rPr>
        <w:t>factors created pathways which</w:t>
      </w:r>
      <w:r w:rsidRPr="00E47A0F">
        <w:rPr>
          <w:rFonts w:ascii="Times New Roman" w:hAnsi="Times New Roman" w:cs="Times New Roman"/>
          <w:sz w:val="24"/>
          <w:szCs w:val="24"/>
        </w:rPr>
        <w:t xml:space="preserve"> constrained labourers’ agenc</w:t>
      </w:r>
      <w:r w:rsidR="00BE083F" w:rsidRPr="00E47A0F">
        <w:rPr>
          <w:rFonts w:ascii="Times New Roman" w:hAnsi="Times New Roman" w:cs="Times New Roman"/>
          <w:sz w:val="24"/>
          <w:szCs w:val="24"/>
        </w:rPr>
        <w:t>ies</w:t>
      </w:r>
      <w:r w:rsidRPr="00E47A0F">
        <w:rPr>
          <w:rFonts w:ascii="Times New Roman" w:hAnsi="Times New Roman" w:cs="Times New Roman"/>
          <w:sz w:val="24"/>
          <w:szCs w:val="24"/>
        </w:rPr>
        <w:t xml:space="preserve"> (Tinker, 1974), or led to either isolated and individualized everyday acts of resistance (Gounder, 2011, </w:t>
      </w:r>
      <w:r w:rsidR="00AD5A14">
        <w:rPr>
          <w:rFonts w:ascii="Times New Roman" w:hAnsi="Times New Roman" w:cs="Times New Roman"/>
          <w:sz w:val="24"/>
          <w:szCs w:val="24"/>
        </w:rPr>
        <w:t>2019</w:t>
      </w:r>
      <w:r w:rsidRPr="00E47A0F">
        <w:rPr>
          <w:rFonts w:ascii="Times New Roman" w:hAnsi="Times New Roman" w:cs="Times New Roman"/>
          <w:sz w:val="24"/>
          <w:szCs w:val="24"/>
        </w:rPr>
        <w:t xml:space="preserve">a; </w:t>
      </w:r>
      <w:r w:rsidR="00AD5A14">
        <w:rPr>
          <w:rFonts w:ascii="Times New Roman" w:hAnsi="Times New Roman" w:cs="Times New Roman"/>
          <w:sz w:val="24"/>
          <w:szCs w:val="24"/>
        </w:rPr>
        <w:t>2019</w:t>
      </w:r>
      <w:r w:rsidRPr="00E47A0F">
        <w:rPr>
          <w:rFonts w:ascii="Times New Roman" w:hAnsi="Times New Roman" w:cs="Times New Roman"/>
          <w:sz w:val="24"/>
          <w:szCs w:val="24"/>
        </w:rPr>
        <w:t>b;</w:t>
      </w:r>
      <w:r w:rsidR="000A5B3D" w:rsidRPr="00E47A0F">
        <w:rPr>
          <w:rFonts w:ascii="Times New Roman" w:hAnsi="Times New Roman" w:cs="Times New Roman"/>
          <w:sz w:val="24"/>
          <w:szCs w:val="24"/>
        </w:rPr>
        <w:t xml:space="preserve"> Mahase, 2014;</w:t>
      </w:r>
      <w:r w:rsidRPr="00E47A0F">
        <w:rPr>
          <w:rFonts w:ascii="Times New Roman" w:hAnsi="Times New Roman" w:cs="Times New Roman"/>
          <w:sz w:val="24"/>
          <w:szCs w:val="24"/>
        </w:rPr>
        <w:t xml:space="preserve"> </w:t>
      </w:r>
      <w:r w:rsidRPr="00E47A0F">
        <w:rPr>
          <w:rFonts w:ascii="Times New Roman" w:hAnsi="Times New Roman" w:cs="Times New Roman"/>
          <w:noProof/>
          <w:sz w:val="24"/>
          <w:szCs w:val="24"/>
        </w:rPr>
        <w:t>Vahed</w:t>
      </w:r>
      <w:r w:rsidR="00563F94" w:rsidRPr="00E47A0F">
        <w:rPr>
          <w:rFonts w:ascii="Times New Roman" w:hAnsi="Times New Roman" w:cs="Times New Roman"/>
          <w:noProof/>
          <w:sz w:val="24"/>
          <w:szCs w:val="24"/>
        </w:rPr>
        <w:t>, 2014</w:t>
      </w:r>
      <w:r w:rsidRPr="00E47A0F">
        <w:rPr>
          <w:rFonts w:ascii="Times New Roman" w:hAnsi="Times New Roman" w:cs="Times New Roman"/>
          <w:sz w:val="24"/>
          <w:szCs w:val="24"/>
        </w:rPr>
        <w:t xml:space="preserve">) or overt, collective forms of resistance (Hassankhan, 2014), accommodation (Lal &amp; Munro, 2014), expressions of feminist agency (Hiralal, 2014; Mishra, 2008; Shameem, 1990), or victimization and defeat (Ali, 2004; Harvey, 2000; Naidu, 2004).  </w:t>
      </w:r>
    </w:p>
    <w:p w14:paraId="1639F743" w14:textId="7D56301A" w:rsidR="002C2B9F" w:rsidRPr="00E47A0F" w:rsidRDefault="00440135"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shd w:val="clear" w:color="auto" w:fill="FFFFFF"/>
        </w:rPr>
        <w:t>Our framework</w:t>
      </w:r>
      <w:r w:rsidR="00126A6A" w:rsidRPr="00E47A0F">
        <w:rPr>
          <w:rFonts w:ascii="Times New Roman" w:hAnsi="Times New Roman" w:cs="Times New Roman"/>
          <w:sz w:val="24"/>
          <w:szCs w:val="24"/>
          <w:shd w:val="clear" w:color="auto" w:fill="FFFFFF"/>
        </w:rPr>
        <w:t xml:space="preserve"> </w:t>
      </w:r>
      <w:r w:rsidRPr="00E47A0F">
        <w:rPr>
          <w:rFonts w:ascii="Times New Roman" w:hAnsi="Times New Roman" w:cs="Times New Roman"/>
          <w:sz w:val="24"/>
          <w:szCs w:val="24"/>
          <w:shd w:val="clear" w:color="auto" w:fill="FFFFFF"/>
        </w:rPr>
        <w:t xml:space="preserve">brings together </w:t>
      </w:r>
      <w:r w:rsidR="00BA34B3" w:rsidRPr="00E47A0F">
        <w:rPr>
          <w:rFonts w:ascii="Times New Roman" w:hAnsi="Times New Roman" w:cs="Times New Roman"/>
          <w:sz w:val="24"/>
          <w:szCs w:val="24"/>
          <w:shd w:val="clear" w:color="auto" w:fill="FFFFFF"/>
        </w:rPr>
        <w:t>decades of research into the lives of the indentured labourers.  We argue that the experiences of the indentured labourers are</w:t>
      </w:r>
      <w:r w:rsidR="00BF153B" w:rsidRPr="00E47A0F">
        <w:rPr>
          <w:rFonts w:ascii="Times New Roman" w:hAnsi="Times New Roman" w:cs="Times New Roman"/>
          <w:sz w:val="24"/>
          <w:szCs w:val="24"/>
          <w:shd w:val="clear" w:color="auto" w:fill="FFFFFF"/>
        </w:rPr>
        <w:t xml:space="preserve"> best discussed</w:t>
      </w:r>
      <w:r w:rsidR="00BA34B3" w:rsidRPr="00E47A0F">
        <w:rPr>
          <w:rFonts w:ascii="Times New Roman" w:hAnsi="Times New Roman" w:cs="Times New Roman"/>
          <w:sz w:val="24"/>
          <w:szCs w:val="24"/>
          <w:shd w:val="clear" w:color="auto" w:fill="FFFFFF"/>
        </w:rPr>
        <w:t xml:space="preserve"> </w:t>
      </w:r>
      <w:r w:rsidR="00013628" w:rsidRPr="00E47A0F">
        <w:rPr>
          <w:rFonts w:ascii="Times New Roman" w:hAnsi="Times New Roman" w:cs="Times New Roman"/>
          <w:sz w:val="24"/>
          <w:szCs w:val="24"/>
        </w:rPr>
        <w:t xml:space="preserve">through the juxtaposition of </w:t>
      </w:r>
      <w:r w:rsidR="00BA34B3" w:rsidRPr="00E47A0F">
        <w:rPr>
          <w:rFonts w:ascii="Times New Roman" w:hAnsi="Times New Roman" w:cs="Times New Roman"/>
          <w:sz w:val="24"/>
          <w:szCs w:val="24"/>
          <w:shd w:val="clear" w:color="auto" w:fill="FFFFFF"/>
        </w:rPr>
        <w:t>the institutional practices of indenture</w:t>
      </w:r>
      <w:r w:rsidR="00563F94" w:rsidRPr="00E47A0F">
        <w:rPr>
          <w:rFonts w:ascii="Times New Roman" w:hAnsi="Times New Roman" w:cs="Times New Roman"/>
          <w:sz w:val="24"/>
          <w:szCs w:val="24"/>
          <w:shd w:val="clear" w:color="auto" w:fill="FFFFFF"/>
        </w:rPr>
        <w:t>,</w:t>
      </w:r>
      <w:r w:rsidR="00013628" w:rsidRPr="00E47A0F">
        <w:rPr>
          <w:rFonts w:ascii="Times New Roman" w:hAnsi="Times New Roman" w:cs="Times New Roman"/>
          <w:sz w:val="24"/>
          <w:szCs w:val="24"/>
          <w:shd w:val="clear" w:color="auto" w:fill="FFFFFF"/>
        </w:rPr>
        <w:t xml:space="preserve"> </w:t>
      </w:r>
      <w:r w:rsidR="00563F94" w:rsidRPr="00E47A0F">
        <w:rPr>
          <w:rFonts w:ascii="Times New Roman" w:hAnsi="Times New Roman" w:cs="Times New Roman"/>
          <w:sz w:val="24"/>
          <w:szCs w:val="24"/>
          <w:shd w:val="clear" w:color="auto" w:fill="FFFFFF"/>
        </w:rPr>
        <w:t>which</w:t>
      </w:r>
      <w:r w:rsidR="00013628" w:rsidRPr="00E47A0F">
        <w:rPr>
          <w:rFonts w:ascii="Times New Roman" w:hAnsi="Times New Roman" w:cs="Times New Roman"/>
          <w:sz w:val="24"/>
          <w:szCs w:val="24"/>
          <w:shd w:val="clear" w:color="auto" w:fill="FFFFFF"/>
        </w:rPr>
        <w:t xml:space="preserve"> dictated the plantation-based individuals’ living and working conditions</w:t>
      </w:r>
      <w:r w:rsidR="00BA34B3" w:rsidRPr="00E47A0F">
        <w:rPr>
          <w:rFonts w:ascii="Times New Roman" w:hAnsi="Times New Roman" w:cs="Times New Roman"/>
          <w:sz w:val="24"/>
          <w:szCs w:val="24"/>
          <w:shd w:val="clear" w:color="auto" w:fill="FFFFFF"/>
        </w:rPr>
        <w:t xml:space="preserve">, and the more immediate </w:t>
      </w:r>
      <w:r w:rsidR="00013628" w:rsidRPr="00E47A0F">
        <w:rPr>
          <w:rFonts w:ascii="Times New Roman" w:hAnsi="Times New Roman" w:cs="Times New Roman"/>
          <w:sz w:val="24"/>
          <w:szCs w:val="24"/>
          <w:shd w:val="clear" w:color="auto" w:fill="FFFFFF"/>
        </w:rPr>
        <w:t xml:space="preserve">context of the </w:t>
      </w:r>
      <w:r w:rsidR="00BA34B3" w:rsidRPr="00E47A0F">
        <w:rPr>
          <w:rFonts w:ascii="Times New Roman" w:hAnsi="Times New Roman" w:cs="Times New Roman"/>
          <w:sz w:val="24"/>
          <w:szCs w:val="24"/>
          <w:shd w:val="clear" w:color="auto" w:fill="FFFFFF"/>
        </w:rPr>
        <w:t>social and material structures of the plantation</w:t>
      </w:r>
      <w:r w:rsidR="00013628" w:rsidRPr="00E47A0F">
        <w:rPr>
          <w:rFonts w:ascii="Times New Roman" w:hAnsi="Times New Roman" w:cs="Times New Roman"/>
          <w:sz w:val="24"/>
          <w:szCs w:val="24"/>
          <w:shd w:val="clear" w:color="auto" w:fill="FFFFFF"/>
        </w:rPr>
        <w:t xml:space="preserve">, </w:t>
      </w:r>
      <w:r w:rsidR="00563F94" w:rsidRPr="00E47A0F">
        <w:rPr>
          <w:rFonts w:ascii="Times New Roman" w:hAnsi="Times New Roman" w:cs="Times New Roman"/>
          <w:sz w:val="24"/>
          <w:szCs w:val="24"/>
          <w:shd w:val="clear" w:color="auto" w:fill="FFFFFF"/>
        </w:rPr>
        <w:t>which</w:t>
      </w:r>
      <w:r w:rsidR="00013628" w:rsidRPr="00E47A0F">
        <w:rPr>
          <w:rFonts w:ascii="Times New Roman" w:hAnsi="Times New Roman" w:cs="Times New Roman"/>
          <w:sz w:val="24"/>
          <w:szCs w:val="24"/>
          <w:shd w:val="clear" w:color="auto" w:fill="FFFFFF"/>
        </w:rPr>
        <w:t xml:space="preserve"> formed the nexus of </w:t>
      </w:r>
      <w:r w:rsidR="00723675" w:rsidRPr="00E47A0F">
        <w:rPr>
          <w:rFonts w:ascii="Times New Roman" w:hAnsi="Times New Roman" w:cs="Times New Roman"/>
          <w:sz w:val="24"/>
          <w:szCs w:val="24"/>
          <w:shd w:val="clear" w:color="auto" w:fill="FFFFFF"/>
        </w:rPr>
        <w:t>the labourers’</w:t>
      </w:r>
      <w:r w:rsidR="00013628" w:rsidRPr="00E47A0F">
        <w:rPr>
          <w:rFonts w:ascii="Times New Roman" w:hAnsi="Times New Roman" w:cs="Times New Roman"/>
          <w:sz w:val="24"/>
          <w:szCs w:val="24"/>
          <w:shd w:val="clear" w:color="auto" w:fill="FFFFFF"/>
        </w:rPr>
        <w:t xml:space="preserve"> </w:t>
      </w:r>
      <w:r w:rsidR="00BF153B" w:rsidRPr="00E47A0F">
        <w:rPr>
          <w:rFonts w:ascii="Times New Roman" w:hAnsi="Times New Roman" w:cs="Times New Roman"/>
          <w:sz w:val="24"/>
          <w:szCs w:val="24"/>
          <w:shd w:val="clear" w:color="auto" w:fill="FFFFFF"/>
        </w:rPr>
        <w:t xml:space="preserve">living and working </w:t>
      </w:r>
      <w:r w:rsidR="00013628" w:rsidRPr="00E47A0F">
        <w:rPr>
          <w:rFonts w:ascii="Times New Roman" w:hAnsi="Times New Roman" w:cs="Times New Roman"/>
          <w:sz w:val="24"/>
          <w:szCs w:val="24"/>
          <w:shd w:val="clear" w:color="auto" w:fill="FFFFFF"/>
        </w:rPr>
        <w:t>environment.</w:t>
      </w:r>
      <w:r w:rsidR="00A85B0E" w:rsidRPr="00E47A0F">
        <w:rPr>
          <w:rFonts w:ascii="Times New Roman" w:hAnsi="Times New Roman" w:cs="Times New Roman"/>
          <w:sz w:val="24"/>
          <w:szCs w:val="24"/>
          <w:shd w:val="clear" w:color="auto" w:fill="FFFFFF"/>
        </w:rPr>
        <w:t xml:space="preserve">  Such a contextualized analysis provides avenues for analysing the interplay of power, micro and macro-level politics and governance in</w:t>
      </w:r>
      <w:r w:rsidR="00480F62" w:rsidRPr="00E47A0F">
        <w:rPr>
          <w:rFonts w:ascii="Times New Roman" w:hAnsi="Times New Roman" w:cs="Times New Roman"/>
          <w:sz w:val="24"/>
          <w:szCs w:val="24"/>
          <w:shd w:val="clear" w:color="auto" w:fill="FFFFFF"/>
        </w:rPr>
        <w:t xml:space="preserve"> determining the plantation-based individuals’ resource access and health outcomes</w:t>
      </w:r>
      <w:r w:rsidR="00A85B0E" w:rsidRPr="00E47A0F">
        <w:rPr>
          <w:rFonts w:ascii="Times New Roman" w:hAnsi="Times New Roman" w:cs="Times New Roman"/>
          <w:sz w:val="24"/>
          <w:szCs w:val="24"/>
          <w:shd w:val="clear" w:color="auto" w:fill="FFFFFF"/>
        </w:rPr>
        <w:t>.</w:t>
      </w:r>
      <w:r w:rsidR="00013628" w:rsidRPr="00E47A0F">
        <w:rPr>
          <w:rFonts w:ascii="Times New Roman" w:hAnsi="Times New Roman" w:cs="Times New Roman"/>
          <w:sz w:val="24"/>
          <w:szCs w:val="24"/>
          <w:shd w:val="clear" w:color="auto" w:fill="FFFFFF"/>
        </w:rPr>
        <w:t xml:space="preserve">  </w:t>
      </w:r>
      <w:r w:rsidR="00480F62" w:rsidRPr="00E47A0F">
        <w:rPr>
          <w:rFonts w:ascii="Times New Roman" w:hAnsi="Times New Roman" w:cs="Times New Roman"/>
          <w:sz w:val="24"/>
          <w:szCs w:val="24"/>
          <w:shd w:val="clear" w:color="auto" w:fill="FFFFFF"/>
        </w:rPr>
        <w:t>And i</w:t>
      </w:r>
      <w:r w:rsidR="00BF153B" w:rsidRPr="00E47A0F">
        <w:rPr>
          <w:rFonts w:ascii="Times New Roman" w:hAnsi="Times New Roman" w:cs="Times New Roman"/>
          <w:sz w:val="24"/>
          <w:szCs w:val="24"/>
          <w:shd w:val="clear" w:color="auto" w:fill="FFFFFF"/>
        </w:rPr>
        <w:t xml:space="preserve">t is within </w:t>
      </w:r>
      <w:r w:rsidR="00C74951" w:rsidRPr="00E47A0F">
        <w:rPr>
          <w:rFonts w:ascii="Times New Roman" w:hAnsi="Times New Roman" w:cs="Times New Roman"/>
          <w:sz w:val="24"/>
          <w:szCs w:val="24"/>
          <w:shd w:val="clear" w:color="auto" w:fill="FFFFFF"/>
        </w:rPr>
        <w:t xml:space="preserve">the correlation between </w:t>
      </w:r>
      <w:r w:rsidR="00816A9F" w:rsidRPr="00E47A0F">
        <w:rPr>
          <w:rFonts w:ascii="Times New Roman" w:hAnsi="Times New Roman" w:cs="Times New Roman"/>
          <w:sz w:val="24"/>
          <w:szCs w:val="24"/>
          <w:shd w:val="clear" w:color="auto" w:fill="FFFFFF"/>
        </w:rPr>
        <w:t xml:space="preserve">the labourers’ positioning within the </w:t>
      </w:r>
      <w:r w:rsidR="00C74951" w:rsidRPr="00E47A0F">
        <w:rPr>
          <w:rFonts w:ascii="Times New Roman" w:hAnsi="Times New Roman" w:cs="Times New Roman"/>
          <w:sz w:val="24"/>
          <w:szCs w:val="24"/>
          <w:shd w:val="clear" w:color="auto" w:fill="FFFFFF"/>
        </w:rPr>
        <w:t>social hierarchy and</w:t>
      </w:r>
      <w:r w:rsidR="005E543F" w:rsidRPr="00E47A0F">
        <w:rPr>
          <w:rFonts w:ascii="Times New Roman" w:hAnsi="Times New Roman" w:cs="Times New Roman"/>
          <w:sz w:val="24"/>
          <w:szCs w:val="24"/>
          <w:shd w:val="clear" w:color="auto" w:fill="FFFFFF"/>
        </w:rPr>
        <w:t xml:space="preserve"> the opportunities and barriers in accessing resources</w:t>
      </w:r>
      <w:r w:rsidR="00BF153B" w:rsidRPr="00E47A0F">
        <w:rPr>
          <w:rFonts w:ascii="Times New Roman" w:hAnsi="Times New Roman" w:cs="Times New Roman"/>
          <w:sz w:val="24"/>
          <w:szCs w:val="24"/>
          <w:shd w:val="clear" w:color="auto" w:fill="FFFFFF"/>
        </w:rPr>
        <w:t xml:space="preserve"> that the agency of the labourers becomes an important area of </w:t>
      </w:r>
      <w:r w:rsidR="00A448CC" w:rsidRPr="00E47A0F">
        <w:rPr>
          <w:rFonts w:ascii="Times New Roman" w:hAnsi="Times New Roman" w:cs="Times New Roman"/>
          <w:sz w:val="24"/>
          <w:szCs w:val="24"/>
          <w:shd w:val="clear" w:color="auto" w:fill="FFFFFF"/>
        </w:rPr>
        <w:t>research</w:t>
      </w:r>
      <w:r w:rsidR="00BF153B" w:rsidRPr="00E47A0F">
        <w:rPr>
          <w:rFonts w:ascii="Times New Roman" w:hAnsi="Times New Roman" w:cs="Times New Roman"/>
          <w:sz w:val="24"/>
          <w:szCs w:val="24"/>
          <w:shd w:val="clear" w:color="auto" w:fill="FFFFFF"/>
        </w:rPr>
        <w:t xml:space="preserve">.  </w:t>
      </w:r>
    </w:p>
    <w:p w14:paraId="23D839ED" w14:textId="000ABCC2" w:rsidR="00DF1AE2" w:rsidRPr="00E47A0F" w:rsidRDefault="002C2B9F" w:rsidP="008036F8">
      <w:pPr>
        <w:spacing w:line="360" w:lineRule="auto"/>
        <w:ind w:firstLine="720"/>
        <w:jc w:val="both"/>
        <w:rPr>
          <w:rStyle w:val="normaltextrun"/>
          <w:rFonts w:ascii="Times New Roman" w:hAnsi="Times New Roman" w:cs="Times New Roman"/>
          <w:sz w:val="24"/>
          <w:szCs w:val="24"/>
        </w:rPr>
      </w:pPr>
      <w:r w:rsidRPr="00E47A0F">
        <w:rPr>
          <w:rFonts w:ascii="Times New Roman" w:hAnsi="Times New Roman" w:cs="Times New Roman"/>
          <w:sz w:val="24"/>
          <w:szCs w:val="24"/>
        </w:rPr>
        <w:t xml:space="preserve">This study constructs a </w:t>
      </w:r>
      <w:r w:rsidR="00E67DCD" w:rsidRPr="00E47A0F">
        <w:rPr>
          <w:rFonts w:ascii="Times New Roman" w:hAnsi="Times New Roman" w:cs="Times New Roman"/>
          <w:sz w:val="24"/>
          <w:szCs w:val="24"/>
        </w:rPr>
        <w:t>framework</w:t>
      </w:r>
      <w:r w:rsidRPr="00E47A0F">
        <w:rPr>
          <w:rFonts w:ascii="Times New Roman" w:hAnsi="Times New Roman" w:cs="Times New Roman"/>
          <w:sz w:val="24"/>
          <w:szCs w:val="24"/>
        </w:rPr>
        <w:t xml:space="preserve"> of </w:t>
      </w:r>
      <w:r w:rsidR="00FB132E" w:rsidRPr="00E47A0F">
        <w:rPr>
          <w:rFonts w:ascii="Times New Roman" w:hAnsi="Times New Roman" w:cs="Times New Roman"/>
          <w:sz w:val="24"/>
          <w:szCs w:val="24"/>
        </w:rPr>
        <w:t>the</w:t>
      </w:r>
      <w:r w:rsidRPr="00E47A0F">
        <w:rPr>
          <w:rFonts w:ascii="Times New Roman" w:hAnsi="Times New Roman" w:cs="Times New Roman"/>
          <w:sz w:val="24"/>
          <w:szCs w:val="24"/>
        </w:rPr>
        <w:t xml:space="preserve"> social, structural and individualized factors </w:t>
      </w:r>
      <w:r w:rsidR="009F0721" w:rsidRPr="00E47A0F">
        <w:rPr>
          <w:rFonts w:ascii="Times New Roman" w:hAnsi="Times New Roman" w:cs="Times New Roman"/>
          <w:sz w:val="24"/>
          <w:szCs w:val="24"/>
        </w:rPr>
        <w:t>that determined the</w:t>
      </w:r>
      <w:r w:rsidRPr="00E47A0F">
        <w:rPr>
          <w:rFonts w:ascii="Times New Roman" w:hAnsi="Times New Roman" w:cs="Times New Roman"/>
          <w:sz w:val="24"/>
          <w:szCs w:val="24"/>
        </w:rPr>
        <w:t xml:space="preserve"> living and working conditions on the indenture plantations.  The intersection of these factors created causal pathways to produce health outcomes of the three groups of individuals who lived on the plantation: male labourers, female labourers, and their offspring.  The plantation-based individuals also responded to these causal pathways and inequitable health outcomes.  </w:t>
      </w:r>
      <w:r w:rsidRPr="00E47A0F">
        <w:rPr>
          <w:rStyle w:val="normaltextrun"/>
          <w:rFonts w:ascii="Times New Roman" w:hAnsi="Times New Roman" w:cs="Times New Roman"/>
          <w:sz w:val="24"/>
          <w:szCs w:val="24"/>
        </w:rPr>
        <w:t>Through the consolidation of these factors, we propose a framework that allows for the systematic measurement of causal factors, consequences and responses to perceived and actual acts of inequalities</w:t>
      </w:r>
      <w:r w:rsidR="00044912" w:rsidRPr="00E47A0F">
        <w:rPr>
          <w:rStyle w:val="normaltextrun"/>
          <w:rFonts w:ascii="Times New Roman" w:hAnsi="Times New Roman" w:cs="Times New Roman"/>
          <w:sz w:val="24"/>
          <w:szCs w:val="24"/>
        </w:rPr>
        <w:t xml:space="preserve"> across</w:t>
      </w:r>
      <w:r w:rsidR="00DD1288" w:rsidRPr="00E47A0F">
        <w:rPr>
          <w:rStyle w:val="normaltextrun"/>
          <w:rFonts w:ascii="Times New Roman" w:hAnsi="Times New Roman" w:cs="Times New Roman"/>
          <w:sz w:val="24"/>
          <w:szCs w:val="24"/>
        </w:rPr>
        <w:t xml:space="preserve"> the</w:t>
      </w:r>
      <w:r w:rsidR="00044912" w:rsidRPr="00E47A0F">
        <w:rPr>
          <w:rStyle w:val="normaltextrun"/>
          <w:rFonts w:ascii="Times New Roman" w:hAnsi="Times New Roman" w:cs="Times New Roman"/>
          <w:sz w:val="24"/>
          <w:szCs w:val="24"/>
        </w:rPr>
        <w:t xml:space="preserve"> Indian indentured </w:t>
      </w:r>
      <w:r w:rsidR="00480F62" w:rsidRPr="00E47A0F">
        <w:rPr>
          <w:rStyle w:val="normaltextrun"/>
          <w:rFonts w:ascii="Times New Roman" w:hAnsi="Times New Roman" w:cs="Times New Roman"/>
          <w:sz w:val="24"/>
          <w:szCs w:val="24"/>
        </w:rPr>
        <w:t>diasporas</w:t>
      </w:r>
      <w:r w:rsidRPr="00E47A0F">
        <w:rPr>
          <w:rStyle w:val="normaltextrun"/>
          <w:rFonts w:ascii="Times New Roman" w:hAnsi="Times New Roman" w:cs="Times New Roman"/>
          <w:sz w:val="24"/>
          <w:szCs w:val="24"/>
        </w:rPr>
        <w:t xml:space="preserve">.  </w:t>
      </w:r>
    </w:p>
    <w:p w14:paraId="162DCCCD" w14:textId="02224A6E" w:rsidR="002C2B9F" w:rsidRPr="00E47A0F" w:rsidRDefault="002C2B9F" w:rsidP="008036F8">
      <w:pPr>
        <w:pStyle w:val="Heading1"/>
        <w:jc w:val="both"/>
        <w:rPr>
          <w:rFonts w:ascii="Times New Roman" w:hAnsi="Times New Roman" w:cs="Times New Roman"/>
        </w:rPr>
      </w:pPr>
      <w:r w:rsidRPr="00E47A0F">
        <w:rPr>
          <w:rFonts w:ascii="Times New Roman" w:hAnsi="Times New Roman" w:cs="Times New Roman"/>
        </w:rPr>
        <w:lastRenderedPageBreak/>
        <w:t>Framework</w:t>
      </w:r>
    </w:p>
    <w:p w14:paraId="177E01FC" w14:textId="094DC5B1" w:rsidR="002C2B9F" w:rsidRPr="00E47A0F" w:rsidRDefault="002C2B9F" w:rsidP="008036F8">
      <w:p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The central question that directs the framework</w:t>
      </w:r>
      <w:r w:rsidR="00C74951" w:rsidRPr="00E47A0F">
        <w:rPr>
          <w:rFonts w:ascii="Times New Roman" w:hAnsi="Times New Roman" w:cs="Times New Roman"/>
          <w:sz w:val="24"/>
          <w:szCs w:val="24"/>
        </w:rPr>
        <w:t xml:space="preserve"> </w:t>
      </w:r>
      <w:r w:rsidRPr="00E47A0F">
        <w:rPr>
          <w:rFonts w:ascii="Times New Roman" w:hAnsi="Times New Roman" w:cs="Times New Roman"/>
          <w:sz w:val="24"/>
          <w:szCs w:val="24"/>
        </w:rPr>
        <w:t>is:</w:t>
      </w:r>
    </w:p>
    <w:p w14:paraId="5D306382" w14:textId="77777777" w:rsidR="000E6DA6" w:rsidRPr="00E47A0F" w:rsidRDefault="002C2B9F" w:rsidP="008036F8">
      <w:pPr>
        <w:spacing w:line="360" w:lineRule="auto"/>
        <w:ind w:left="720"/>
        <w:jc w:val="both"/>
        <w:rPr>
          <w:rFonts w:ascii="Times New Roman" w:hAnsi="Times New Roman" w:cs="Times New Roman"/>
          <w:sz w:val="24"/>
          <w:szCs w:val="24"/>
        </w:rPr>
      </w:pPr>
      <w:bookmarkStart w:id="0" w:name="_Hlk39152191"/>
      <w:r w:rsidRPr="00E47A0F">
        <w:rPr>
          <w:rFonts w:ascii="Times New Roman" w:hAnsi="Times New Roman" w:cs="Times New Roman"/>
          <w:sz w:val="24"/>
          <w:szCs w:val="24"/>
        </w:rPr>
        <w:t xml:space="preserve">Within a particular </w:t>
      </w:r>
      <w:r w:rsidRPr="00E47A0F">
        <w:rPr>
          <w:rFonts w:ascii="Times New Roman" w:hAnsi="Times New Roman" w:cs="Times New Roman"/>
          <w:b/>
          <w:sz w:val="24"/>
          <w:szCs w:val="24"/>
        </w:rPr>
        <w:t>social context</w:t>
      </w:r>
      <w:r w:rsidRPr="00E47A0F">
        <w:rPr>
          <w:rFonts w:ascii="Times New Roman" w:hAnsi="Times New Roman" w:cs="Times New Roman"/>
          <w:sz w:val="24"/>
          <w:szCs w:val="24"/>
        </w:rPr>
        <w:t xml:space="preserve"> (institutional, plantation, community, interpersonal), how does the combination of </w:t>
      </w:r>
      <w:r w:rsidRPr="00E47A0F">
        <w:rPr>
          <w:rFonts w:ascii="Times New Roman" w:hAnsi="Times New Roman" w:cs="Times New Roman"/>
          <w:b/>
          <w:sz w:val="24"/>
          <w:szCs w:val="24"/>
        </w:rPr>
        <w:t>social position and the social distribution of resources</w:t>
      </w:r>
      <w:r w:rsidRPr="00E47A0F">
        <w:rPr>
          <w:rFonts w:ascii="Times New Roman" w:hAnsi="Times New Roman" w:cs="Times New Roman"/>
          <w:sz w:val="24"/>
          <w:szCs w:val="24"/>
        </w:rPr>
        <w:t xml:space="preserve"> determine the </w:t>
      </w:r>
      <w:r w:rsidRPr="00E47A0F">
        <w:rPr>
          <w:rFonts w:ascii="Times New Roman" w:hAnsi="Times New Roman" w:cs="Times New Roman"/>
          <w:b/>
          <w:sz w:val="24"/>
          <w:szCs w:val="24"/>
        </w:rPr>
        <w:t>social strategies</w:t>
      </w:r>
      <w:r w:rsidRPr="00E47A0F">
        <w:rPr>
          <w:rFonts w:ascii="Times New Roman" w:hAnsi="Times New Roman" w:cs="Times New Roman"/>
          <w:sz w:val="24"/>
          <w:szCs w:val="24"/>
        </w:rPr>
        <w:t xml:space="preserve"> that plantation-based individuals mobilized and with what </w:t>
      </w:r>
      <w:r w:rsidRPr="00E47A0F">
        <w:rPr>
          <w:rFonts w:ascii="Times New Roman" w:hAnsi="Times New Roman" w:cs="Times New Roman"/>
          <w:b/>
          <w:sz w:val="24"/>
          <w:szCs w:val="24"/>
        </w:rPr>
        <w:t>outcomes</w:t>
      </w:r>
      <w:r w:rsidRPr="00E47A0F">
        <w:rPr>
          <w:rFonts w:ascii="Times New Roman" w:hAnsi="Times New Roman" w:cs="Times New Roman"/>
          <w:sz w:val="24"/>
          <w:szCs w:val="24"/>
        </w:rPr>
        <w:t>?</w:t>
      </w:r>
      <w:r w:rsidR="000E6DA6" w:rsidRPr="00E47A0F">
        <w:rPr>
          <w:rFonts w:ascii="Times New Roman" w:hAnsi="Times New Roman" w:cs="Times New Roman"/>
          <w:sz w:val="24"/>
          <w:szCs w:val="24"/>
        </w:rPr>
        <w:t xml:space="preserve">  </w:t>
      </w:r>
    </w:p>
    <w:p w14:paraId="34449FF7" w14:textId="59CB7F0E" w:rsidR="00D76D58" w:rsidRDefault="000E6DA6" w:rsidP="008036F8">
      <w:pPr>
        <w:spacing w:line="360" w:lineRule="auto"/>
        <w:jc w:val="both"/>
        <w:rPr>
          <w:rFonts w:ascii="Times New Roman" w:hAnsi="Times New Roman" w:cs="Times New Roman"/>
          <w:sz w:val="24"/>
          <w:szCs w:val="24"/>
        </w:rPr>
      </w:pPr>
      <w:bookmarkStart w:id="1" w:name="_Hlk39235546"/>
      <w:bookmarkEnd w:id="0"/>
      <w:r w:rsidRPr="00E47A0F">
        <w:rPr>
          <w:rFonts w:ascii="Times New Roman" w:hAnsi="Times New Roman" w:cs="Times New Roman"/>
          <w:sz w:val="24"/>
          <w:szCs w:val="24"/>
        </w:rPr>
        <w:t xml:space="preserve">The </w:t>
      </w:r>
      <w:r w:rsidR="00EB2479" w:rsidRPr="00E47A0F">
        <w:rPr>
          <w:rFonts w:ascii="Times New Roman" w:hAnsi="Times New Roman" w:cs="Times New Roman"/>
          <w:sz w:val="24"/>
          <w:szCs w:val="24"/>
        </w:rPr>
        <w:t xml:space="preserve">framework </w:t>
      </w:r>
      <w:r w:rsidR="001F5EBF" w:rsidRPr="00E47A0F">
        <w:rPr>
          <w:rFonts w:ascii="Times New Roman" w:hAnsi="Times New Roman" w:cs="Times New Roman"/>
          <w:sz w:val="24"/>
          <w:szCs w:val="24"/>
        </w:rPr>
        <w:t>especially takes into</w:t>
      </w:r>
      <w:r w:rsidR="00EB2479" w:rsidRPr="00E47A0F">
        <w:rPr>
          <w:rFonts w:ascii="Times New Roman" w:hAnsi="Times New Roman" w:cs="Times New Roman"/>
          <w:sz w:val="24"/>
          <w:szCs w:val="24"/>
        </w:rPr>
        <w:t xml:space="preserve"> consideration</w:t>
      </w:r>
      <w:r w:rsidR="002C2B9F" w:rsidRPr="00E47A0F">
        <w:rPr>
          <w:rFonts w:ascii="Times New Roman" w:hAnsi="Times New Roman" w:cs="Times New Roman"/>
          <w:sz w:val="24"/>
          <w:szCs w:val="24"/>
        </w:rPr>
        <w:t xml:space="preserve"> how institutional level policies and processes (embedded in a </w:t>
      </w:r>
      <w:r w:rsidRPr="00E47A0F">
        <w:rPr>
          <w:rFonts w:ascii="Times New Roman" w:hAnsi="Times New Roman" w:cs="Times New Roman"/>
          <w:sz w:val="24"/>
          <w:szCs w:val="24"/>
        </w:rPr>
        <w:t>complex web</w:t>
      </w:r>
      <w:r w:rsidR="002C2B9F" w:rsidRPr="00E47A0F">
        <w:rPr>
          <w:rFonts w:ascii="Times New Roman" w:hAnsi="Times New Roman" w:cs="Times New Roman"/>
          <w:sz w:val="24"/>
          <w:szCs w:val="24"/>
        </w:rPr>
        <w:t xml:space="preserve"> of formal and informal</w:t>
      </w:r>
      <w:r w:rsidR="00675FD3" w:rsidRPr="00E47A0F">
        <w:rPr>
          <w:rFonts w:ascii="Times New Roman" w:hAnsi="Times New Roman" w:cs="Times New Roman"/>
          <w:sz w:val="24"/>
          <w:szCs w:val="24"/>
        </w:rPr>
        <w:t>,</w:t>
      </w:r>
      <w:r w:rsidR="002C2B9F" w:rsidRPr="00E47A0F">
        <w:rPr>
          <w:rFonts w:ascii="Times New Roman" w:hAnsi="Times New Roman" w:cs="Times New Roman"/>
          <w:sz w:val="24"/>
          <w:szCs w:val="24"/>
        </w:rPr>
        <w:t xml:space="preserve"> social and material </w:t>
      </w:r>
      <w:r w:rsidR="00CA5478" w:rsidRPr="00E47A0F">
        <w:rPr>
          <w:rFonts w:ascii="Times New Roman" w:hAnsi="Times New Roman" w:cs="Times New Roman"/>
          <w:sz w:val="24"/>
          <w:szCs w:val="24"/>
        </w:rPr>
        <w:t>structures</w:t>
      </w:r>
      <w:r w:rsidR="002C2B9F" w:rsidRPr="00E47A0F">
        <w:rPr>
          <w:rFonts w:ascii="Times New Roman" w:hAnsi="Times New Roman" w:cs="Times New Roman"/>
          <w:sz w:val="24"/>
          <w:szCs w:val="24"/>
        </w:rPr>
        <w:t>) influence the (in)access to resources and thus mediate the ability to carry out social strategies and achieve equitable health outcomes.</w:t>
      </w:r>
      <w:bookmarkEnd w:id="1"/>
    </w:p>
    <w:p w14:paraId="145D6EF4" w14:textId="77777777" w:rsidR="00F36ECF" w:rsidRDefault="00F36ECF" w:rsidP="008036F8">
      <w:pPr>
        <w:pStyle w:val="Heading1"/>
        <w:jc w:val="both"/>
      </w:pPr>
      <w:r>
        <w:t>Concepts of the Framework</w:t>
      </w:r>
    </w:p>
    <w:p w14:paraId="5F763219" w14:textId="77777777" w:rsidR="00F36ECF" w:rsidRPr="00E47A0F" w:rsidRDefault="00F36ECF" w:rsidP="008036F8">
      <w:p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The framework’s premise rests on the intersection of three concepts, defined below: health inequality, social determinants of health and social position.</w:t>
      </w:r>
    </w:p>
    <w:p w14:paraId="546CD068" w14:textId="77777777" w:rsidR="00F36ECF" w:rsidRPr="00E47A0F" w:rsidRDefault="00F36ECF" w:rsidP="008036F8">
      <w:pPr>
        <w:pStyle w:val="Heading2"/>
        <w:jc w:val="both"/>
      </w:pPr>
      <w:r w:rsidRPr="00E47A0F">
        <w:t>Measuring outcomes as embodied health</w:t>
      </w:r>
    </w:p>
    <w:p w14:paraId="6D841220" w14:textId="77777777" w:rsidR="00F36ECF" w:rsidRPr="00E47A0F" w:rsidRDefault="00F36ECF" w:rsidP="008036F8">
      <w:p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 xml:space="preserve">Health outcomes lie at the intersection of social processes and individuals’ biological make up.  Combinations of social factors create causal pathways, which consolidate in health and wellbeing outcomes of individuals and populations.  </w:t>
      </w:r>
      <w:r w:rsidRPr="00E47A0F">
        <w:rPr>
          <w:rFonts w:ascii="Times New Roman" w:hAnsi="Times New Roman" w:cs="Times New Roman"/>
          <w:i/>
          <w:sz w:val="24"/>
          <w:szCs w:val="24"/>
        </w:rPr>
        <w:t>Health equity</w:t>
      </w:r>
      <w:r w:rsidRPr="00E47A0F">
        <w:rPr>
          <w:rFonts w:ascii="Times New Roman" w:hAnsi="Times New Roman" w:cs="Times New Roman"/>
          <w:sz w:val="24"/>
          <w:szCs w:val="24"/>
        </w:rPr>
        <w:t xml:space="preserve"> exists when social processes create a fair distribution of resources, which results in positive health outcomes for all.  </w:t>
      </w:r>
      <w:bookmarkStart w:id="2" w:name="_Hlk8126390"/>
      <w:r w:rsidRPr="00E47A0F">
        <w:rPr>
          <w:rFonts w:ascii="Times New Roman" w:hAnsi="Times New Roman" w:cs="Times New Roman"/>
          <w:sz w:val="24"/>
          <w:szCs w:val="24"/>
        </w:rPr>
        <w:t xml:space="preserve"> Conversely, </w:t>
      </w:r>
      <w:r w:rsidRPr="00E47A0F">
        <w:rPr>
          <w:rFonts w:ascii="Times New Roman" w:hAnsi="Times New Roman" w:cs="Times New Roman"/>
          <w:i/>
          <w:sz w:val="24"/>
          <w:szCs w:val="24"/>
        </w:rPr>
        <w:t>health inequity</w:t>
      </w:r>
      <w:r w:rsidRPr="00E47A0F">
        <w:rPr>
          <w:rFonts w:ascii="Times New Roman" w:hAnsi="Times New Roman" w:cs="Times New Roman"/>
          <w:i/>
          <w:noProof/>
          <w:sz w:val="24"/>
          <w:szCs w:val="24"/>
        </w:rPr>
        <w:t>,</w:t>
      </w:r>
      <w:r w:rsidRPr="00E47A0F">
        <w:rPr>
          <w:rFonts w:ascii="Times New Roman" w:hAnsi="Times New Roman" w:cs="Times New Roman"/>
          <w:sz w:val="24"/>
          <w:szCs w:val="24"/>
        </w:rPr>
        <w:t xml:space="preserve"> also referred to as </w:t>
      </w:r>
      <w:r w:rsidRPr="00E47A0F">
        <w:rPr>
          <w:rFonts w:ascii="Times New Roman" w:hAnsi="Times New Roman" w:cs="Times New Roman"/>
          <w:i/>
          <w:sz w:val="24"/>
          <w:szCs w:val="24"/>
        </w:rPr>
        <w:t xml:space="preserve">health </w:t>
      </w:r>
      <w:r w:rsidRPr="00E47A0F">
        <w:rPr>
          <w:rFonts w:ascii="Times New Roman" w:hAnsi="Times New Roman" w:cs="Times New Roman"/>
          <w:i/>
          <w:noProof/>
          <w:sz w:val="24"/>
          <w:szCs w:val="24"/>
        </w:rPr>
        <w:t>inequality</w:t>
      </w:r>
      <w:r w:rsidRPr="00E47A0F">
        <w:rPr>
          <w:rFonts w:ascii="Times New Roman" w:hAnsi="Times New Roman" w:cs="Times New Roman"/>
          <w:sz w:val="24"/>
          <w:szCs w:val="24"/>
        </w:rPr>
        <w:t xml:space="preserve"> and </w:t>
      </w:r>
      <w:r w:rsidRPr="00E47A0F">
        <w:rPr>
          <w:rFonts w:ascii="Times New Roman" w:hAnsi="Times New Roman" w:cs="Times New Roman"/>
          <w:i/>
          <w:sz w:val="24"/>
          <w:szCs w:val="24"/>
        </w:rPr>
        <w:t>health disparity</w:t>
      </w:r>
      <w:r w:rsidRPr="00E47A0F">
        <w:rPr>
          <w:rFonts w:ascii="Times New Roman" w:hAnsi="Times New Roman" w:cs="Times New Roman"/>
          <w:sz w:val="24"/>
          <w:szCs w:val="24"/>
        </w:rPr>
        <w:t>, is the systematic, unfair and avoidable differences in the health outcomes of a population created through unfair resource distribution (WHO Social determinants framework, 2010).</w:t>
      </w:r>
    </w:p>
    <w:p w14:paraId="7EB8487D" w14:textId="7AB99678" w:rsidR="00F36EC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 xml:space="preserve">The framework constitutes of </w:t>
      </w:r>
      <w:r w:rsidRPr="00E47A0F">
        <w:rPr>
          <w:rFonts w:ascii="Times New Roman" w:hAnsi="Times New Roman" w:cs="Times New Roman"/>
          <w:i/>
          <w:sz w:val="24"/>
          <w:szCs w:val="24"/>
        </w:rPr>
        <w:t>social determinants of health</w:t>
      </w:r>
      <w:r w:rsidRPr="00E47A0F">
        <w:rPr>
          <w:rFonts w:ascii="Times New Roman" w:hAnsi="Times New Roman" w:cs="Times New Roman"/>
          <w:sz w:val="24"/>
          <w:szCs w:val="24"/>
        </w:rPr>
        <w:t xml:space="preserve">, which are social factors that create linkages between “social and biological causes”.  The consolidation of the factors through causal pathways, create either equitable or inequitable health and wellbeing outcomes of a population (Graham, 2004: 106).  We define </w:t>
      </w:r>
      <w:r w:rsidRPr="00E47A0F">
        <w:rPr>
          <w:rFonts w:ascii="Times New Roman" w:hAnsi="Times New Roman" w:cs="Times New Roman"/>
          <w:i/>
          <w:sz w:val="24"/>
          <w:szCs w:val="24"/>
        </w:rPr>
        <w:t>social determinants of indentured health</w:t>
      </w:r>
      <w:r w:rsidRPr="00E47A0F">
        <w:rPr>
          <w:rFonts w:ascii="Times New Roman" w:hAnsi="Times New Roman" w:cs="Times New Roman"/>
          <w:sz w:val="24"/>
          <w:szCs w:val="24"/>
        </w:rPr>
        <w:t xml:space="preserve"> as factors that were ultimately embodied within the plantation-based individuals, creating all forms of behavioural, psychological and physiological health outcomes.  Social determinants of </w:t>
      </w:r>
      <w:r w:rsidRPr="00E47A0F">
        <w:rPr>
          <w:rFonts w:ascii="Times New Roman" w:hAnsi="Times New Roman" w:cs="Times New Roman"/>
          <w:noProof/>
          <w:sz w:val="24"/>
          <w:szCs w:val="24"/>
        </w:rPr>
        <w:t>indenture</w:t>
      </w:r>
      <w:r w:rsidRPr="00E47A0F">
        <w:rPr>
          <w:rFonts w:ascii="Times New Roman" w:hAnsi="Times New Roman" w:cs="Times New Roman"/>
          <w:sz w:val="24"/>
          <w:szCs w:val="24"/>
        </w:rPr>
        <w:t xml:space="preserve"> are both at the societal level (institutional policies and practices of governance, </w:t>
      </w:r>
      <w:r w:rsidRPr="00E47A0F">
        <w:rPr>
          <w:rFonts w:ascii="Times New Roman" w:hAnsi="Times New Roman" w:cs="Times New Roman"/>
          <w:noProof/>
          <w:sz w:val="24"/>
          <w:szCs w:val="24"/>
        </w:rPr>
        <w:t>community-based</w:t>
      </w:r>
      <w:r w:rsidRPr="00E47A0F">
        <w:rPr>
          <w:rFonts w:ascii="Times New Roman" w:hAnsi="Times New Roman" w:cs="Times New Roman"/>
          <w:sz w:val="24"/>
          <w:szCs w:val="24"/>
        </w:rPr>
        <w:t xml:space="preserve"> norms and values, plantation structures within which the labourers lived and worked) and also at the individual level (behavioural risk factors that are triggered within unfavourable conditions).  Social determinants of </w:t>
      </w:r>
      <w:r w:rsidRPr="00E47A0F">
        <w:rPr>
          <w:rFonts w:ascii="Times New Roman" w:hAnsi="Times New Roman" w:cs="Times New Roman"/>
          <w:noProof/>
          <w:sz w:val="24"/>
          <w:szCs w:val="24"/>
        </w:rPr>
        <w:t>indenture</w:t>
      </w:r>
      <w:r w:rsidRPr="00E47A0F">
        <w:rPr>
          <w:rFonts w:ascii="Times New Roman" w:hAnsi="Times New Roman" w:cs="Times New Roman"/>
          <w:sz w:val="24"/>
          <w:szCs w:val="24"/>
        </w:rPr>
        <w:t xml:space="preserve"> are discussed in relation to subgroups.  Within the plantation-based population, subgroups could be defined as ethnic </w:t>
      </w:r>
      <w:r w:rsidRPr="00E47A0F">
        <w:rPr>
          <w:rFonts w:ascii="Times New Roman" w:hAnsi="Times New Roman" w:cs="Times New Roman"/>
          <w:sz w:val="24"/>
          <w:szCs w:val="24"/>
        </w:rPr>
        <w:lastRenderedPageBreak/>
        <w:t>groups (such as the minority South Indian labourers in Fiji), male labourers, female labourers, mothers, infants and children.</w:t>
      </w:r>
    </w:p>
    <w:p w14:paraId="3CCE814A" w14:textId="77777777" w:rsidR="00F36ECF" w:rsidRPr="00E47A0F" w:rsidRDefault="00F36ECF" w:rsidP="008036F8">
      <w:pPr>
        <w:spacing w:line="360" w:lineRule="auto"/>
        <w:ind w:firstLine="720"/>
        <w:jc w:val="both"/>
        <w:rPr>
          <w:rFonts w:ascii="Times New Roman" w:hAnsi="Times New Roman" w:cs="Times New Roman"/>
          <w:sz w:val="24"/>
          <w:szCs w:val="24"/>
        </w:rPr>
      </w:pPr>
    </w:p>
    <w:p w14:paraId="7EC1CEC7" w14:textId="77777777" w:rsidR="00F36ECF" w:rsidRPr="00E47A0F" w:rsidRDefault="00F36ECF" w:rsidP="008036F8">
      <w:pPr>
        <w:pStyle w:val="Heading2"/>
        <w:jc w:val="both"/>
      </w:pPr>
      <w:r w:rsidRPr="00E47A0F">
        <w:t>Measuring resource access through social position and social processes within social contexts</w:t>
      </w:r>
    </w:p>
    <w:p w14:paraId="6C26B3BB" w14:textId="77777777" w:rsidR="00F36ECF" w:rsidRPr="00E47A0F" w:rsidRDefault="00F36ECF" w:rsidP="008036F8">
      <w:p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 xml:space="preserve">Health outcomes are socially produced.  Therefore, poor health outcomes are a social justice issue that need to be considered in relation to social position and the allocation of resources (WHO Social determinants framework, 2010).   </w:t>
      </w:r>
    </w:p>
    <w:p w14:paraId="23CA0E7D" w14:textId="77777777" w:rsidR="00F36ECF" w:rsidRPr="00E47A0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 xml:space="preserve">Health outcomes are tied to a person’s </w:t>
      </w:r>
      <w:r w:rsidRPr="00E47A0F">
        <w:rPr>
          <w:rFonts w:ascii="Times New Roman" w:hAnsi="Times New Roman" w:cs="Times New Roman"/>
          <w:i/>
          <w:iCs/>
          <w:sz w:val="24"/>
          <w:szCs w:val="24"/>
        </w:rPr>
        <w:t>social position</w:t>
      </w:r>
      <w:r w:rsidRPr="00E47A0F">
        <w:rPr>
          <w:rFonts w:ascii="Times New Roman" w:hAnsi="Times New Roman" w:cs="Times New Roman"/>
          <w:sz w:val="24"/>
          <w:szCs w:val="24"/>
        </w:rPr>
        <w:t xml:space="preserve">, the comparative place of an individual within societal stratifications.  Social position dimensions include socioeconomic status, social capital, gender, and ethnicity (Graham, 2004: 107; Link &amp; Phelan, 1995; Krieger et al, 2006; Mohanty, 2005; </w:t>
      </w:r>
      <w:r w:rsidRPr="00E47A0F">
        <w:rPr>
          <w:rFonts w:ascii="Times New Roman" w:hAnsi="Times New Roman" w:cs="Times New Roman"/>
          <w:color w:val="222222"/>
          <w:sz w:val="24"/>
          <w:szCs w:val="24"/>
          <w:shd w:val="clear" w:color="auto" w:fill="FFFFFF"/>
        </w:rPr>
        <w:t>Quesada., Hart, &amp; Bourgois, 2011</w:t>
      </w:r>
      <w:r w:rsidRPr="00E47A0F">
        <w:rPr>
          <w:rFonts w:ascii="Times New Roman" w:hAnsi="Times New Roman" w:cs="Times New Roman"/>
          <w:sz w:val="24"/>
          <w:szCs w:val="24"/>
        </w:rPr>
        <w:t>).  Social position is associated with power distribution, social and economic access to resources, and environmental exposure to risk, creating a social gradient in health inequ</w:t>
      </w:r>
      <w:r w:rsidRPr="00E47A0F">
        <w:rPr>
          <w:rStyle w:val="normaltextrun"/>
          <w:rFonts w:ascii="Times New Roman" w:hAnsi="Times New Roman" w:cs="Times New Roman"/>
          <w:color w:val="000000"/>
          <w:sz w:val="24"/>
          <w:szCs w:val="24"/>
          <w:shd w:val="clear" w:color="auto" w:fill="FFFFFF"/>
        </w:rPr>
        <w:t>al</w:t>
      </w:r>
      <w:r w:rsidRPr="00E47A0F">
        <w:rPr>
          <w:rFonts w:ascii="Times New Roman" w:hAnsi="Times New Roman" w:cs="Times New Roman"/>
          <w:sz w:val="24"/>
          <w:szCs w:val="24"/>
        </w:rPr>
        <w:t xml:space="preserve">ities (Diderichsen, Evans &amp; Whitehead, 2001:14).  </w:t>
      </w:r>
    </w:p>
    <w:p w14:paraId="199A8723" w14:textId="77777777" w:rsidR="00F36ECF" w:rsidRPr="00E47A0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Social position is correlated to vulnerability to health inequ</w:t>
      </w:r>
      <w:r w:rsidRPr="00E47A0F">
        <w:rPr>
          <w:rStyle w:val="normaltextrun"/>
          <w:rFonts w:ascii="Times New Roman" w:hAnsi="Times New Roman" w:cs="Times New Roman"/>
          <w:color w:val="000000"/>
          <w:sz w:val="24"/>
          <w:szCs w:val="24"/>
          <w:shd w:val="clear" w:color="auto" w:fill="FFFFFF"/>
        </w:rPr>
        <w:t>al</w:t>
      </w:r>
      <w:r w:rsidRPr="00E47A0F">
        <w:rPr>
          <w:rFonts w:ascii="Times New Roman" w:hAnsi="Times New Roman" w:cs="Times New Roman"/>
          <w:sz w:val="24"/>
          <w:szCs w:val="24"/>
        </w:rPr>
        <w:t xml:space="preserve">ities.  Comprehensive investigation of mechanisms linking discrimination and deprivation with health consequences in contemporary populations demonstrate the importance of societal factors in the consideration of health outcomes:  </w:t>
      </w:r>
    </w:p>
    <w:p w14:paraId="583F0641" w14:textId="77777777" w:rsidR="00F36ECF" w:rsidRPr="00E47A0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 xml:space="preserve">Social position measured by economic deprivation demonstrates that sustained economic hardship is correlated with a reduced quality of independence and an increase in clinical depression (Lynch, Kaplan &amp; Shema, 1997).  Moreover, the longitudinal analysis of economic deprivation’s impact in early life demonstrates its adverse correlation with health outcomes throughout the lifespan (Brooks-Gunn &amp; Duncan, 1997; </w:t>
      </w:r>
      <w:r w:rsidRPr="00E47A0F">
        <w:rPr>
          <w:rFonts w:ascii="Times New Roman" w:hAnsi="Times New Roman" w:cs="Times New Roman"/>
          <w:sz w:val="24"/>
          <w:szCs w:val="24"/>
          <w:shd w:val="clear" w:color="auto" w:fill="FFFFFF"/>
        </w:rPr>
        <w:t xml:space="preserve">Case, Fertig, &amp; Paxson, 2005; </w:t>
      </w:r>
      <w:r w:rsidRPr="00E47A0F">
        <w:rPr>
          <w:rFonts w:ascii="Times New Roman" w:hAnsi="Times New Roman" w:cs="Times New Roman"/>
          <w:sz w:val="24"/>
          <w:szCs w:val="24"/>
        </w:rPr>
        <w:t xml:space="preserve">Drukker, Kaplan, Feron, &amp; Van Os, 2003; McEvewn &amp; Seeman, 1999; </w:t>
      </w:r>
      <w:r w:rsidRPr="00E47A0F">
        <w:rPr>
          <w:rFonts w:ascii="Times New Roman" w:hAnsi="Times New Roman" w:cs="Times New Roman"/>
          <w:sz w:val="24"/>
          <w:szCs w:val="24"/>
          <w:shd w:val="clear" w:color="auto" w:fill="FFFFFF"/>
        </w:rPr>
        <w:t>Yoshikawa, Aber, &amp; Beardslee, 2012</w:t>
      </w:r>
      <w:r w:rsidRPr="00E47A0F">
        <w:rPr>
          <w:rFonts w:ascii="Times New Roman" w:hAnsi="Times New Roman" w:cs="Times New Roman"/>
          <w:sz w:val="24"/>
          <w:szCs w:val="24"/>
        </w:rPr>
        <w:t>).</w:t>
      </w:r>
    </w:p>
    <w:p w14:paraId="04DFE2D4" w14:textId="77777777" w:rsidR="00F36ECF" w:rsidRPr="00E47A0F" w:rsidRDefault="00F36ECF" w:rsidP="008036F8">
      <w:pPr>
        <w:spacing w:line="360" w:lineRule="auto"/>
        <w:ind w:firstLine="720"/>
        <w:jc w:val="both"/>
        <w:rPr>
          <w:rFonts w:ascii="Times New Roman" w:hAnsi="Times New Roman" w:cs="Times New Roman"/>
          <w:sz w:val="24"/>
          <w:szCs w:val="24"/>
          <w:shd w:val="clear" w:color="auto" w:fill="FFFFFF"/>
        </w:rPr>
      </w:pPr>
      <w:r w:rsidRPr="00E47A0F">
        <w:rPr>
          <w:rFonts w:ascii="Times New Roman" w:hAnsi="Times New Roman" w:cs="Times New Roman"/>
          <w:sz w:val="24"/>
          <w:szCs w:val="24"/>
        </w:rPr>
        <w:t>Vulnerable populations, such as low-income immigrant workers embody exacerbated levels of health inequ</w:t>
      </w:r>
      <w:r w:rsidRPr="00E47A0F">
        <w:rPr>
          <w:rStyle w:val="normaltextrun"/>
          <w:rFonts w:ascii="Times New Roman" w:hAnsi="Times New Roman" w:cs="Times New Roman"/>
          <w:sz w:val="24"/>
          <w:szCs w:val="24"/>
          <w:shd w:val="clear" w:color="auto" w:fill="FFFFFF"/>
        </w:rPr>
        <w:t>al</w:t>
      </w:r>
      <w:r w:rsidRPr="00E47A0F">
        <w:rPr>
          <w:rFonts w:ascii="Times New Roman" w:hAnsi="Times New Roman" w:cs="Times New Roman"/>
          <w:sz w:val="24"/>
          <w:szCs w:val="24"/>
        </w:rPr>
        <w:t>ities.  Their vulnerability is shaped by a number of factors including a high level of workplace discrimination, abuse and harassment (</w:t>
      </w:r>
      <w:r w:rsidRPr="00E47A0F">
        <w:rPr>
          <w:rFonts w:ascii="Times New Roman" w:hAnsi="Times New Roman" w:cs="Times New Roman"/>
          <w:sz w:val="24"/>
          <w:szCs w:val="24"/>
          <w:shd w:val="clear" w:color="auto" w:fill="FFFFFF"/>
        </w:rPr>
        <w:t xml:space="preserve">Krieger, et al., 2006), injury and illness attributed to work-related exposure (Lipscomb, Loomis, McDonald, Argue, &amp; Wing, 2006) “…political and social marginalization and a lack of socioeconomic and societal </w:t>
      </w:r>
      <w:r w:rsidRPr="00E47A0F">
        <w:rPr>
          <w:rFonts w:ascii="Times New Roman" w:hAnsi="Times New Roman" w:cs="Times New Roman"/>
          <w:sz w:val="24"/>
          <w:szCs w:val="24"/>
          <w:shd w:val="clear" w:color="auto" w:fill="FFFFFF"/>
        </w:rPr>
        <w:lastRenderedPageBreak/>
        <w:t xml:space="preserve">resources”, which includes lack of proficiency in dominant group’s language, which poses a significant barrier to attaining appropriate healthcare (Derose, Escarce, &amp; Lurie, 2007).  </w:t>
      </w:r>
    </w:p>
    <w:p w14:paraId="1C0D921F" w14:textId="77777777" w:rsidR="00F36ECF" w:rsidRPr="00E47A0F" w:rsidRDefault="00F36ECF" w:rsidP="008036F8">
      <w:pPr>
        <w:spacing w:line="360" w:lineRule="auto"/>
        <w:ind w:firstLine="720"/>
        <w:jc w:val="both"/>
        <w:rPr>
          <w:rFonts w:ascii="Times New Roman" w:hAnsi="Times New Roman" w:cs="Times New Roman"/>
          <w:sz w:val="24"/>
          <w:szCs w:val="24"/>
          <w:shd w:val="clear" w:color="auto" w:fill="FFFFFF"/>
        </w:rPr>
      </w:pPr>
      <w:r w:rsidRPr="00E47A0F">
        <w:rPr>
          <w:rFonts w:ascii="Times New Roman" w:hAnsi="Times New Roman" w:cs="Times New Roman"/>
          <w:sz w:val="24"/>
          <w:szCs w:val="24"/>
          <w:shd w:val="clear" w:color="auto" w:fill="FFFFFF"/>
        </w:rPr>
        <w:t xml:space="preserve">Moreover, while young, new immigrants may arrive with relatively good health, their health outcomes deteriorate in the new environment.  “Several factors may account for this, including the </w:t>
      </w:r>
      <w:r w:rsidRPr="00E47A0F">
        <w:rPr>
          <w:rFonts w:ascii="Times New Roman" w:hAnsi="Times New Roman" w:cs="Times New Roman"/>
          <w:noProof/>
          <w:sz w:val="24"/>
          <w:szCs w:val="24"/>
          <w:shd w:val="clear" w:color="auto" w:fill="FFFFFF"/>
        </w:rPr>
        <w:t>adoption</w:t>
      </w:r>
      <w:r w:rsidRPr="00E47A0F">
        <w:rPr>
          <w:rFonts w:ascii="Times New Roman" w:hAnsi="Times New Roman" w:cs="Times New Roman"/>
          <w:sz w:val="24"/>
          <w:szCs w:val="24"/>
          <w:shd w:val="clear" w:color="auto" w:fill="FFFFFF"/>
        </w:rPr>
        <w:t xml:space="preserve"> of unhealthy habits, living in unhealthy environments….poor access to and the poor performance of the health care and public health systems vis-à-vis immigrants have serious implications for the health of immigrants and their children.”  For new immigrants, stigma, marginalization, lack of adequate social support network and inadequate knowledge about the new environment’s healthcare availability and processes can also contribute to the new immigrants’ delay in seeking healthcare, thus increasing the </w:t>
      </w:r>
      <w:r w:rsidRPr="00E47A0F">
        <w:rPr>
          <w:rFonts w:ascii="Times New Roman" w:hAnsi="Times New Roman" w:cs="Times New Roman"/>
          <w:noProof/>
          <w:sz w:val="24"/>
          <w:szCs w:val="24"/>
          <w:shd w:val="clear" w:color="auto" w:fill="FFFFFF"/>
        </w:rPr>
        <w:t>risk</w:t>
      </w:r>
      <w:r w:rsidRPr="00E47A0F">
        <w:rPr>
          <w:rFonts w:ascii="Times New Roman" w:hAnsi="Times New Roman" w:cs="Times New Roman"/>
          <w:sz w:val="24"/>
          <w:szCs w:val="24"/>
          <w:shd w:val="clear" w:color="auto" w:fill="FFFFFF"/>
        </w:rPr>
        <w:t xml:space="preserve"> of severe morbidity and mortality (Derose, Escarce, &amp; Lurie, 2007).  </w:t>
      </w:r>
    </w:p>
    <w:p w14:paraId="4FAB5E17" w14:textId="77777777" w:rsidR="00F36ECF" w:rsidRPr="00E47A0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Health outcomes are also intertwined with employment type.  Research indicates the substantial impact that work-related exposure has on health outcomes, through attributed injury and illness (</w:t>
      </w:r>
      <w:r w:rsidRPr="00E47A0F">
        <w:rPr>
          <w:rFonts w:ascii="Times New Roman" w:hAnsi="Times New Roman" w:cs="Times New Roman"/>
          <w:color w:val="222222"/>
          <w:sz w:val="24"/>
          <w:szCs w:val="24"/>
          <w:shd w:val="clear" w:color="auto" w:fill="FFFFFF"/>
        </w:rPr>
        <w:t>Lipscomb, Loomis, McDonald, Argue &amp; Wing, 2006)</w:t>
      </w:r>
      <w:r w:rsidRPr="00E47A0F">
        <w:rPr>
          <w:rFonts w:ascii="Times New Roman" w:hAnsi="Times New Roman" w:cs="Times New Roman"/>
          <w:sz w:val="24"/>
          <w:szCs w:val="24"/>
        </w:rPr>
        <w:t xml:space="preserve">.  The relationship between employment type and social status is also an important consideration in suicide rates.  In rural India, a decreased social position is a significant contributor </w:t>
      </w:r>
      <w:r w:rsidRPr="00E47A0F">
        <w:rPr>
          <w:rFonts w:ascii="Times New Roman" w:hAnsi="Times New Roman" w:cs="Times New Roman"/>
          <w:noProof/>
          <w:sz w:val="24"/>
          <w:szCs w:val="24"/>
        </w:rPr>
        <w:t>to</w:t>
      </w:r>
      <w:r w:rsidRPr="00E47A0F">
        <w:rPr>
          <w:rFonts w:ascii="Times New Roman" w:hAnsi="Times New Roman" w:cs="Times New Roman"/>
          <w:sz w:val="24"/>
          <w:szCs w:val="24"/>
        </w:rPr>
        <w:t xml:space="preserve"> increased suicide rates amongst farmers.  Reduced power, socioeconomic status and social capital </w:t>
      </w:r>
      <w:r w:rsidRPr="00E47A0F">
        <w:rPr>
          <w:rFonts w:ascii="Times New Roman" w:hAnsi="Times New Roman" w:cs="Times New Roman"/>
          <w:noProof/>
          <w:sz w:val="24"/>
          <w:szCs w:val="24"/>
        </w:rPr>
        <w:t>are</w:t>
      </w:r>
      <w:r w:rsidRPr="00E47A0F">
        <w:rPr>
          <w:rFonts w:ascii="Times New Roman" w:hAnsi="Times New Roman" w:cs="Times New Roman"/>
          <w:sz w:val="24"/>
          <w:szCs w:val="24"/>
        </w:rPr>
        <w:t xml:space="preserve"> attributed to the intersection of policy changes, the </w:t>
      </w:r>
      <w:r w:rsidRPr="00E47A0F">
        <w:rPr>
          <w:rFonts w:ascii="Times New Roman" w:hAnsi="Times New Roman" w:cs="Times New Roman"/>
          <w:noProof/>
          <w:sz w:val="24"/>
          <w:szCs w:val="24"/>
        </w:rPr>
        <w:t>disintegration</w:t>
      </w:r>
      <w:r w:rsidRPr="00E47A0F">
        <w:rPr>
          <w:rFonts w:ascii="Times New Roman" w:hAnsi="Times New Roman" w:cs="Times New Roman"/>
          <w:sz w:val="24"/>
          <w:szCs w:val="24"/>
        </w:rPr>
        <w:t xml:space="preserve"> of traditional societal norms and values, and increased urbanization and individualization (Mohanty, 2005). </w:t>
      </w:r>
      <w:bookmarkEnd w:id="2"/>
      <w:r w:rsidRPr="00E47A0F">
        <w:rPr>
          <w:rFonts w:ascii="Times New Roman" w:hAnsi="Times New Roman" w:cs="Times New Roman"/>
          <w:sz w:val="24"/>
          <w:szCs w:val="24"/>
        </w:rPr>
        <w:t xml:space="preserve"> </w:t>
      </w:r>
    </w:p>
    <w:p w14:paraId="7C458659" w14:textId="77777777" w:rsidR="00F36ECF" w:rsidRPr="00E47A0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 xml:space="preserve">The above findings have relevance for the consideration of the plantation-based individuals’ social position within the plantation hierarchy, correlated with the presence of inequitable social and material structures, and (in)access to health-promoting resources.  </w:t>
      </w:r>
    </w:p>
    <w:p w14:paraId="123FF70D" w14:textId="77777777" w:rsidR="00F36ECF" w:rsidRPr="00E47A0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 xml:space="preserve">The plantation stratification and the gendered distribution of social position can be viewed through the economic lens.  The plantation authorities (Overseer followed by Sirdar) had a higher pay then the male labourers, followed by the female labourers, and the children.  According to the indenture contracts for the Fiji-based labourers, a man was entitled to one shilling per week for six hours of steady work, women received ninepence for four and a half hours of work, and children were paid according to the work performed (Lal, 2012: 72).  </w:t>
      </w:r>
    </w:p>
    <w:p w14:paraId="3AF564CC" w14:textId="77777777" w:rsidR="00F36ECF" w:rsidRPr="00E47A0F" w:rsidRDefault="00F36ECF" w:rsidP="008036F8">
      <w:pPr>
        <w:spacing w:line="360" w:lineRule="auto"/>
        <w:ind w:firstLine="720"/>
        <w:jc w:val="both"/>
        <w:rPr>
          <w:rFonts w:ascii="Times New Roman" w:hAnsi="Times New Roman" w:cs="Times New Roman"/>
          <w:sz w:val="24"/>
          <w:szCs w:val="24"/>
        </w:rPr>
      </w:pPr>
      <w:r w:rsidRPr="0632A7DB">
        <w:rPr>
          <w:rFonts w:ascii="Times New Roman" w:hAnsi="Times New Roman" w:cs="Times New Roman"/>
          <w:sz w:val="24"/>
          <w:szCs w:val="24"/>
        </w:rPr>
        <w:t xml:space="preserve">Within the pool of labourers, social position was not only determined by income but also by other social and cultural factors.  Taking the Fiji-based male labourers as a case in point, Naidu (2004) demonstrates the interplay of ethnicity and social position on the detrimental health outcomes of South Indian male labourers.  </w:t>
      </w:r>
    </w:p>
    <w:p w14:paraId="7328ACFD" w14:textId="77777777" w:rsidR="00F36ECF" w:rsidRPr="00E47A0F" w:rsidRDefault="00F36ECF" w:rsidP="008036F8">
      <w:pPr>
        <w:spacing w:line="360" w:lineRule="auto"/>
        <w:ind w:firstLine="720"/>
        <w:jc w:val="both"/>
        <w:rPr>
          <w:rFonts w:ascii="Times New Roman" w:hAnsi="Times New Roman" w:cs="Times New Roman"/>
          <w:sz w:val="24"/>
          <w:szCs w:val="24"/>
        </w:rPr>
      </w:pPr>
      <w:r w:rsidRPr="0632A7DB">
        <w:rPr>
          <w:rFonts w:ascii="Times New Roman" w:hAnsi="Times New Roman" w:cs="Times New Roman"/>
          <w:sz w:val="24"/>
          <w:szCs w:val="24"/>
        </w:rPr>
        <w:lastRenderedPageBreak/>
        <w:t xml:space="preserve">In the latter half of Fiji’s indenture (1903), recruitment began in South India.  Hence, the South Indian labourers were entering a North Indian entrenched plantation environment, that was highly differentiated from South Indian ways of being, and required a greater adjustment to the disintegration of traditional societal norms and values.  Naidu’s (2004) indepth analysis of male labourers by ethnicity finds that the South Indian male labourers had lower social position on the plantation compared to the larger, more dominant group of North Indian male labourers.  The South Indian labourers lacked proficiency in the plantation lingua franca, experienced greater workplace discrimination and social marginalisation than their North Indian counterparts and lacked adequate social support networks to acculturate to the plantation environment.  The ultimate outcome was the high rates of suicide among newly arrived male South Indian labourers.      </w:t>
      </w:r>
    </w:p>
    <w:p w14:paraId="7A815FAA" w14:textId="77777777" w:rsidR="00F36ECF" w:rsidRPr="00E47A0F" w:rsidRDefault="00F36ECF" w:rsidP="008036F8">
      <w:pPr>
        <w:jc w:val="both"/>
        <w:rPr>
          <w:rFonts w:ascii="Times New Roman" w:hAnsi="Times New Roman" w:cs="Times New Roman"/>
        </w:rPr>
      </w:pPr>
    </w:p>
    <w:p w14:paraId="50400367" w14:textId="77777777" w:rsidR="00F36ECF" w:rsidRPr="00E47A0F" w:rsidRDefault="00F36ECF" w:rsidP="008036F8">
      <w:pPr>
        <w:pStyle w:val="Heading2"/>
        <w:jc w:val="both"/>
      </w:pPr>
      <w:r w:rsidRPr="00E47A0F">
        <w:t>Social strategies mobilized</w:t>
      </w:r>
    </w:p>
    <w:p w14:paraId="42CF6FFE" w14:textId="77777777" w:rsidR="00F36ECF" w:rsidRPr="00E47A0F" w:rsidRDefault="00F36ECF" w:rsidP="008036F8">
      <w:pPr>
        <w:spacing w:line="360" w:lineRule="auto"/>
        <w:ind w:firstLine="360"/>
        <w:jc w:val="both"/>
        <w:rPr>
          <w:rFonts w:ascii="Times New Roman" w:hAnsi="Times New Roman" w:cs="Times New Roman"/>
          <w:sz w:val="24"/>
          <w:szCs w:val="24"/>
        </w:rPr>
      </w:pPr>
      <w:r w:rsidRPr="00E47A0F">
        <w:rPr>
          <w:rFonts w:ascii="Times New Roman" w:hAnsi="Times New Roman" w:cs="Times New Roman"/>
          <w:sz w:val="24"/>
          <w:szCs w:val="24"/>
        </w:rPr>
        <w:t xml:space="preserve">Extensive research into labourers’ response to acts of inequality </w:t>
      </w:r>
      <w:r w:rsidRPr="00E47A0F">
        <w:rPr>
          <w:rFonts w:ascii="Times New Roman" w:hAnsi="Times New Roman" w:cs="Times New Roman"/>
          <w:noProof/>
          <w:sz w:val="24"/>
          <w:szCs w:val="24"/>
        </w:rPr>
        <w:t>provides</w:t>
      </w:r>
      <w:r w:rsidRPr="00E47A0F">
        <w:rPr>
          <w:rFonts w:ascii="Times New Roman" w:hAnsi="Times New Roman" w:cs="Times New Roman"/>
          <w:sz w:val="24"/>
          <w:szCs w:val="24"/>
        </w:rPr>
        <w:t xml:space="preserve"> three main areas of response: resistance, accommodation, and the inability to cope with inequitable acts or practices.    </w:t>
      </w:r>
    </w:p>
    <w:p w14:paraId="2B083A7E" w14:textId="77777777" w:rsidR="00F36ECF" w:rsidRPr="00E47A0F" w:rsidRDefault="00F36ECF" w:rsidP="008036F8">
      <w:pPr>
        <w:pStyle w:val="paragraph"/>
        <w:spacing w:before="0" w:beforeAutospacing="0" w:after="0" w:afterAutospacing="0" w:line="360" w:lineRule="auto"/>
        <w:ind w:firstLine="360"/>
        <w:jc w:val="both"/>
        <w:textAlignment w:val="baseline"/>
        <w:rPr>
          <w:rStyle w:val="normaltextrun"/>
        </w:rPr>
      </w:pPr>
      <w:r w:rsidRPr="00E47A0F">
        <w:rPr>
          <w:rStyle w:val="normaltextrun"/>
          <w:shd w:val="clear" w:color="auto" w:fill="FFFFFF"/>
        </w:rPr>
        <w:t xml:space="preserve">The social and material structures of the plantation-based environment, within which the plantation-based individuals lived and worked, played a large part in determining the strategies that they used in responding to perceived or actual occurrences of inequity:  </w:t>
      </w:r>
    </w:p>
    <w:p w14:paraId="75B8B7BB" w14:textId="77777777" w:rsidR="00F36ECF" w:rsidRPr="00E47A0F" w:rsidRDefault="00F36ECF" w:rsidP="008036F8">
      <w:pPr>
        <w:spacing w:line="360" w:lineRule="auto"/>
        <w:ind w:left="720"/>
        <w:jc w:val="both"/>
        <w:textAlignment w:val="baseline"/>
        <w:rPr>
          <w:rFonts w:ascii="Times New Roman" w:eastAsia="Georgia" w:hAnsi="Times New Roman" w:cs="Times New Roman"/>
          <w:sz w:val="24"/>
          <w:szCs w:val="24"/>
        </w:rPr>
      </w:pPr>
      <w:r w:rsidRPr="00E47A0F">
        <w:rPr>
          <w:rFonts w:ascii="Times New Roman" w:eastAsia="Georgia" w:hAnsi="Times New Roman" w:cs="Times New Roman"/>
          <w:sz w:val="24"/>
          <w:szCs w:val="24"/>
        </w:rPr>
        <w:t xml:space="preserve">The external constraints imposed by the authoritarian structure of the plantation system and the repressive labour legislation that upheld it </w:t>
      </w:r>
      <w:r w:rsidRPr="00E47A0F">
        <w:rPr>
          <w:rFonts w:ascii="Times New Roman" w:eastAsia="Georgia" w:hAnsi="Times New Roman" w:cs="Times New Roman"/>
          <w:noProof/>
          <w:sz w:val="24"/>
          <w:szCs w:val="24"/>
        </w:rPr>
        <w:t>were</w:t>
      </w:r>
      <w:r w:rsidRPr="00E47A0F">
        <w:rPr>
          <w:rFonts w:ascii="Times New Roman" w:eastAsia="Georgia" w:hAnsi="Times New Roman" w:cs="Times New Roman"/>
          <w:sz w:val="24"/>
          <w:szCs w:val="24"/>
        </w:rPr>
        <w:t xml:space="preserve"> the primary deterrents of collective self-assertion. </w:t>
      </w:r>
      <w:r w:rsidRPr="00E47A0F">
        <w:rPr>
          <w:rFonts w:ascii="Times New Roman" w:eastAsia="Georgia" w:hAnsi="Times New Roman" w:cs="Times New Roman"/>
          <w:noProof/>
          <w:sz w:val="24"/>
          <w:szCs w:val="24"/>
        </w:rPr>
        <w:t>But</w:t>
      </w:r>
      <w:r w:rsidRPr="00E47A0F">
        <w:rPr>
          <w:rFonts w:ascii="Times New Roman" w:eastAsia="Georgia" w:hAnsi="Times New Roman" w:cs="Times New Roman"/>
          <w:sz w:val="24"/>
          <w:szCs w:val="24"/>
        </w:rPr>
        <w:t xml:space="preserve"> the labourers’ difficulties were compounded by a lack of cohesion within the Indian workforce itself. The labourers’ diverse social and cultural background, their differing aspirations and motivations for migrating to Fiji, their varying individual experiences on the plantations, and the absence of institutional structures within the indentured community, which could have become avenues for </w:t>
      </w:r>
      <w:r w:rsidRPr="00E47A0F">
        <w:rPr>
          <w:rFonts w:ascii="Times New Roman" w:eastAsia="Georgia" w:hAnsi="Times New Roman" w:cs="Times New Roman"/>
          <w:noProof/>
          <w:sz w:val="24"/>
          <w:szCs w:val="24"/>
        </w:rPr>
        <w:t>mobilization</w:t>
      </w:r>
      <w:r w:rsidRPr="00E47A0F">
        <w:rPr>
          <w:rFonts w:ascii="Times New Roman" w:eastAsia="Georgia" w:hAnsi="Times New Roman" w:cs="Times New Roman"/>
          <w:sz w:val="24"/>
          <w:szCs w:val="24"/>
        </w:rPr>
        <w:t>, all combined to frustrate the potential for collective action.</w:t>
      </w:r>
    </w:p>
    <w:p w14:paraId="4A6D7778" w14:textId="77777777" w:rsidR="00F36ECF" w:rsidRPr="00E47A0F" w:rsidRDefault="00F36ECF" w:rsidP="008036F8">
      <w:pPr>
        <w:pStyle w:val="paragraph"/>
        <w:spacing w:before="0" w:beforeAutospacing="0" w:after="0" w:afterAutospacing="0" w:line="360" w:lineRule="auto"/>
        <w:ind w:left="720"/>
        <w:jc w:val="both"/>
        <w:textAlignment w:val="baseline"/>
        <w:rPr>
          <w:rStyle w:val="normaltextrun"/>
        </w:rPr>
      </w:pPr>
      <w:r w:rsidRPr="00E47A0F">
        <w:rPr>
          <w:rStyle w:val="normaltextrun"/>
          <w:shd w:val="clear" w:color="auto" w:fill="FFFFFF"/>
        </w:rPr>
        <w:t>(Lal and Munro, 2014: 125-6)</w:t>
      </w:r>
    </w:p>
    <w:p w14:paraId="648D1E38" w14:textId="77777777" w:rsidR="00F36ECF" w:rsidRPr="00E47A0F" w:rsidRDefault="00F36ECF" w:rsidP="008036F8">
      <w:pPr>
        <w:ind w:firstLine="720"/>
        <w:jc w:val="both"/>
        <w:rPr>
          <w:rFonts w:ascii="Times New Roman" w:hAnsi="Times New Roman" w:cs="Times New Roman"/>
          <w:color w:val="FF0000"/>
          <w:sz w:val="24"/>
          <w:szCs w:val="24"/>
        </w:rPr>
      </w:pPr>
    </w:p>
    <w:p w14:paraId="14CD2C34" w14:textId="77777777" w:rsidR="00F36ECF" w:rsidRPr="00E47A0F" w:rsidRDefault="00F36ECF" w:rsidP="008036F8">
      <w:pPr>
        <w:pStyle w:val="paragraph"/>
        <w:spacing w:before="0" w:beforeAutospacing="0" w:after="0" w:afterAutospacing="0" w:line="360" w:lineRule="auto"/>
        <w:jc w:val="both"/>
        <w:textAlignment w:val="baseline"/>
        <w:rPr>
          <w:rFonts w:eastAsia="Georgia"/>
        </w:rPr>
      </w:pPr>
      <w:r w:rsidRPr="00E47A0F">
        <w:rPr>
          <w:rStyle w:val="normaltextrun"/>
          <w:shd w:val="clear" w:color="auto" w:fill="FFFFFF"/>
        </w:rPr>
        <w:t xml:space="preserve">Lal and Munro’s argument concurs with Scott’s (1985: 35) analysis of socio-cultural, geographic and structural factors, which in combination create an unfavourable environment for large-scale revolts.  </w:t>
      </w:r>
      <w:r w:rsidRPr="00E47A0F">
        <w:rPr>
          <w:rFonts w:eastAsia="Georgia"/>
        </w:rPr>
        <w:t xml:space="preserve">In rare cases, as seen in Suriname, labourers did organize themselves </w:t>
      </w:r>
      <w:r w:rsidRPr="00E47A0F">
        <w:rPr>
          <w:rFonts w:eastAsia="Georgia"/>
        </w:rPr>
        <w:lastRenderedPageBreak/>
        <w:t>to conduct collective forms of protest, such as revolts and strikes (</w:t>
      </w:r>
      <w:r w:rsidRPr="00E47A0F">
        <w:t>Hoefte, 1987);</w:t>
      </w:r>
      <w:r w:rsidRPr="00E47A0F">
        <w:rPr>
          <w:rFonts w:eastAsia="Georgia"/>
        </w:rPr>
        <w:t xml:space="preserve"> however, for the most part, such organized, large-scale expressions of dissatisfaction were not seen in the indentured colonies.  </w:t>
      </w:r>
      <w:r w:rsidRPr="00E47A0F">
        <w:t>Instead, as growing evidence indicates, the labourers responded individually and collectively to their circumstances in a variety of ways: some situations were tolerated, as the labourers accommodated to their plantation life and bore out their five years of indenture (</w:t>
      </w:r>
      <w:bookmarkStart w:id="3" w:name="_Hlk7001634"/>
      <w:r w:rsidRPr="00E47A0F">
        <w:t>Lal &amp; Munro, 2014</w:t>
      </w:r>
      <w:bookmarkEnd w:id="3"/>
      <w:r w:rsidRPr="00E47A0F">
        <w:t xml:space="preserve">).  </w:t>
      </w:r>
    </w:p>
    <w:p w14:paraId="1E2582E9" w14:textId="77777777" w:rsidR="00F36ECF" w:rsidRPr="00E47A0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Other circumstances became untenable, resulting in resistance, which took the outlet of institutionalized practices of complaints (through the inspectors, or through the courts) for offences such as assault and battery of labourers and non-payment of wages (</w:t>
      </w:r>
      <w:bookmarkStart w:id="4" w:name="_Hlk7001647"/>
      <w:r w:rsidRPr="00E47A0F">
        <w:rPr>
          <w:rFonts w:ascii="Times New Roman" w:hAnsi="Times New Roman" w:cs="Times New Roman"/>
          <w:sz w:val="24"/>
          <w:szCs w:val="24"/>
        </w:rPr>
        <w:t>Lal, 1996</w:t>
      </w:r>
      <w:bookmarkEnd w:id="4"/>
      <w:r w:rsidRPr="00E47A0F">
        <w:rPr>
          <w:rFonts w:ascii="Times New Roman" w:hAnsi="Times New Roman" w:cs="Times New Roman"/>
          <w:sz w:val="24"/>
          <w:szCs w:val="24"/>
        </w:rPr>
        <w:t xml:space="preserve">).  However, a number of factors worked against them: the labourers’ lack of proficiency in the colonial language and the difficulty in obtaining unbiased interpreters, combined with a lack of knowledge about the workings of the colonial justice system and how to present their cases in this culturally unfamiliar terrain (Hassankhan, 2014). </w:t>
      </w:r>
    </w:p>
    <w:p w14:paraId="201BEB14" w14:textId="77777777" w:rsidR="00F36ECF" w:rsidRPr="00E47A0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 xml:space="preserve">The result was that the labourers’ complaints against the plantation authorities were more likely to be dismissed, or the plantation authorities were able to escape conviction.  On the other hand, when the plantation authorities took the labourers to court for non-performance of tasks, unlawful absence, desertion, damaging property, “want of ordinary diligence”, the labourers, in most cases, were convicted, with harsh penalties for petty offences, through fines, imprisonment, and even imprisonment with hard labour.  A further consequence of imprisonment was that this was perceived as time away from the plantation, and resulted in the extension of the labourers’ indenture (Lal, 1996; Hassankhan, 2014; </w:t>
      </w:r>
      <w:bookmarkStart w:id="5" w:name="_Hlk7001658"/>
      <w:r w:rsidRPr="00E47A0F">
        <w:rPr>
          <w:rFonts w:ascii="Times New Roman" w:hAnsi="Times New Roman" w:cs="Times New Roman"/>
          <w:sz w:val="24"/>
          <w:szCs w:val="24"/>
        </w:rPr>
        <w:t xml:space="preserve">Naidu, </w:t>
      </w:r>
      <w:bookmarkEnd w:id="5"/>
      <w:r w:rsidRPr="00E47A0F">
        <w:rPr>
          <w:rFonts w:ascii="Times New Roman" w:hAnsi="Times New Roman" w:cs="Times New Roman"/>
          <w:sz w:val="24"/>
          <w:szCs w:val="24"/>
        </w:rPr>
        <w:t>2004).</w:t>
      </w:r>
    </w:p>
    <w:p w14:paraId="6A162E36" w14:textId="77777777" w:rsidR="00F36ECF" w:rsidRPr="00E47A0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The labourers increasingly became frustrated in their attempts to obtain redress through legal processes.  The Girmityas believed that the indenture authorities (such as the Agent-General and District Commissioner) colluded with the plantation authorities and that it was futile to take the plantation authorities to court.</w:t>
      </w:r>
    </w:p>
    <w:p w14:paraId="1FC311AF" w14:textId="7550AD04" w:rsidR="00F36ECF" w:rsidRDefault="00F36ECF" w:rsidP="008036F8">
      <w:pPr>
        <w:spacing w:line="360" w:lineRule="auto"/>
        <w:ind w:firstLine="720"/>
        <w:jc w:val="both"/>
        <w:rPr>
          <w:rFonts w:ascii="Times New Roman" w:eastAsia="Georgia" w:hAnsi="Times New Roman" w:cs="Times New Roman"/>
          <w:sz w:val="24"/>
          <w:szCs w:val="24"/>
        </w:rPr>
      </w:pPr>
      <w:r w:rsidRPr="0632A7DB">
        <w:rPr>
          <w:rFonts w:ascii="Times New Roman" w:hAnsi="Times New Roman" w:cs="Times New Roman"/>
          <w:sz w:val="24"/>
          <w:szCs w:val="24"/>
        </w:rPr>
        <w:t xml:space="preserve">  The Girmityas turned to other forms of “everyday resistance”, </w:t>
      </w:r>
      <w:r w:rsidRPr="0632A7DB">
        <w:rPr>
          <w:rFonts w:ascii="Times New Roman" w:eastAsia="Georgia" w:hAnsi="Times New Roman" w:cs="Times New Roman"/>
          <w:sz w:val="24"/>
          <w:szCs w:val="24"/>
        </w:rPr>
        <w:t xml:space="preserve">less overt resistance techniques, which were “mundane and individualistic” and enacted through “everyday acts” (Vahed, 2014: 114).  </w:t>
      </w:r>
      <w:r w:rsidRPr="0632A7DB">
        <w:rPr>
          <w:rStyle w:val="normaltextrun"/>
          <w:rFonts w:ascii="Times New Roman" w:hAnsi="Times New Roman" w:cs="Times New Roman"/>
          <w:sz w:val="24"/>
          <w:szCs w:val="24"/>
        </w:rPr>
        <w:t xml:space="preserve">The act of everyday resistance lies at the intersection of power distribution, sense of injustice, familiarity with the </w:t>
      </w:r>
      <w:r w:rsidRPr="0632A7DB">
        <w:rPr>
          <w:rStyle w:val="normaltextrun"/>
          <w:rFonts w:ascii="Times New Roman" w:hAnsi="Times New Roman" w:cs="Times New Roman"/>
          <w:noProof/>
          <w:sz w:val="24"/>
          <w:szCs w:val="24"/>
        </w:rPr>
        <w:t>institutionalised</w:t>
      </w:r>
      <w:r w:rsidRPr="0632A7DB">
        <w:rPr>
          <w:rStyle w:val="normaltextrun"/>
          <w:rFonts w:ascii="Times New Roman" w:hAnsi="Times New Roman" w:cs="Times New Roman"/>
          <w:sz w:val="24"/>
          <w:szCs w:val="24"/>
        </w:rPr>
        <w:t xml:space="preserve"> </w:t>
      </w:r>
      <w:r w:rsidRPr="0632A7DB">
        <w:rPr>
          <w:rStyle w:val="normaltextrun"/>
          <w:rFonts w:ascii="Times New Roman" w:hAnsi="Times New Roman" w:cs="Times New Roman"/>
          <w:noProof/>
          <w:sz w:val="24"/>
          <w:szCs w:val="24"/>
        </w:rPr>
        <w:t>organisation</w:t>
      </w:r>
      <w:r w:rsidRPr="0632A7DB">
        <w:rPr>
          <w:rStyle w:val="normaltextrun"/>
          <w:rFonts w:ascii="Times New Roman" w:hAnsi="Times New Roman" w:cs="Times New Roman"/>
          <w:sz w:val="24"/>
          <w:szCs w:val="24"/>
        </w:rPr>
        <w:t xml:space="preserve"> of resources, and opportunity to </w:t>
      </w:r>
      <w:r w:rsidRPr="0632A7DB">
        <w:rPr>
          <w:rStyle w:val="normaltextrun"/>
          <w:rFonts w:ascii="Times New Roman" w:hAnsi="Times New Roman" w:cs="Times New Roman"/>
          <w:noProof/>
          <w:sz w:val="24"/>
          <w:szCs w:val="24"/>
        </w:rPr>
        <w:t>utilise</w:t>
      </w:r>
      <w:r w:rsidRPr="0632A7DB">
        <w:rPr>
          <w:rStyle w:val="normaltextrun"/>
          <w:rFonts w:ascii="Times New Roman" w:hAnsi="Times New Roman" w:cs="Times New Roman"/>
          <w:sz w:val="24"/>
          <w:szCs w:val="24"/>
        </w:rPr>
        <w:t xml:space="preserve"> these same resources and temporarily subvert power (Ewick and Silbey, 2003: 1336-7).  It is the familiarity with the resources that allows the resisters to “identify the cracks and vulnerabilities of institutionalized power” (Ewick and Silbey, 2003: </w:t>
      </w:r>
      <w:r w:rsidRPr="0632A7DB">
        <w:rPr>
          <w:rStyle w:val="normaltextrun"/>
          <w:rFonts w:ascii="Times New Roman" w:hAnsi="Times New Roman" w:cs="Times New Roman"/>
          <w:sz w:val="24"/>
          <w:szCs w:val="24"/>
        </w:rPr>
        <w:lastRenderedPageBreak/>
        <w:t xml:space="preserve">1330), which provide opportunities to subvert the order for “immediate objectives” (Tinker, 1974: 226) with a reduced risk of severe retaliation compared to open defiance (Scott, 1985: 34-5). </w:t>
      </w:r>
      <w:r w:rsidRPr="0632A7DB">
        <w:rPr>
          <w:rFonts w:ascii="Times New Roman" w:eastAsia="Georgia" w:hAnsi="Times New Roman" w:cs="Times New Roman"/>
          <w:sz w:val="24"/>
          <w:szCs w:val="24"/>
        </w:rPr>
        <w:t xml:space="preserve">In the case of the labourers, their performance of everyday resistance took the form of </w:t>
      </w:r>
      <w:r w:rsidRPr="0632A7DB">
        <w:rPr>
          <w:rFonts w:ascii="Times New Roman" w:eastAsia="Georgia" w:hAnsi="Times New Roman" w:cs="Times New Roman"/>
          <w:noProof/>
          <w:sz w:val="24"/>
          <w:szCs w:val="24"/>
        </w:rPr>
        <w:t>absenteeism</w:t>
      </w:r>
      <w:r w:rsidRPr="0632A7DB">
        <w:rPr>
          <w:rFonts w:ascii="Times New Roman" w:eastAsia="Georgia" w:hAnsi="Times New Roman" w:cs="Times New Roman"/>
          <w:sz w:val="24"/>
          <w:szCs w:val="24"/>
        </w:rPr>
        <w:t xml:space="preserve">, desertion, malingering or feigned illness, mouthing off, verbal and physical assault and homicide of plantation authorities, </w:t>
      </w:r>
      <w:r w:rsidRPr="0632A7DB">
        <w:rPr>
          <w:rFonts w:ascii="Times New Roman" w:hAnsi="Times New Roman" w:cs="Times New Roman"/>
          <w:sz w:val="24"/>
          <w:szCs w:val="24"/>
        </w:rPr>
        <w:t>individualized spontaneous acts of violence, destruction of property and petty theft</w:t>
      </w:r>
      <w:r w:rsidRPr="0632A7DB">
        <w:rPr>
          <w:rFonts w:ascii="Times New Roman" w:eastAsia="Georgia" w:hAnsi="Times New Roman" w:cs="Times New Roman"/>
          <w:sz w:val="24"/>
          <w:szCs w:val="24"/>
        </w:rPr>
        <w:t xml:space="preserve">, slovenly work, incomplete tasks, refusal to work, and suicide (Ali, 2004; </w:t>
      </w:r>
      <w:r w:rsidRPr="0632A7DB">
        <w:rPr>
          <w:rFonts w:ascii="Times New Roman" w:hAnsi="Times New Roman" w:cs="Times New Roman"/>
          <w:sz w:val="24"/>
          <w:szCs w:val="24"/>
        </w:rPr>
        <w:t>Gounder, forthcoming;</w:t>
      </w:r>
      <w:r w:rsidRPr="0632A7DB">
        <w:rPr>
          <w:rFonts w:ascii="Times New Roman" w:eastAsia="Georgia" w:hAnsi="Times New Roman" w:cs="Times New Roman"/>
          <w:sz w:val="24"/>
          <w:szCs w:val="24"/>
        </w:rPr>
        <w:t xml:space="preserve"> Hassankhan, 2014; Vahed, 2014). </w:t>
      </w:r>
    </w:p>
    <w:p w14:paraId="330A732E" w14:textId="77777777" w:rsidR="00F36ECF" w:rsidRPr="00E47A0F" w:rsidRDefault="00F36ECF" w:rsidP="008036F8">
      <w:pPr>
        <w:spacing w:line="360" w:lineRule="auto"/>
        <w:ind w:firstLine="720"/>
        <w:jc w:val="both"/>
        <w:rPr>
          <w:rFonts w:ascii="Times New Roman" w:eastAsia="Georgia" w:hAnsi="Times New Roman" w:cs="Times New Roman"/>
          <w:sz w:val="24"/>
          <w:szCs w:val="24"/>
        </w:rPr>
      </w:pPr>
    </w:p>
    <w:p w14:paraId="0F88EF82" w14:textId="77777777" w:rsidR="00F36ECF" w:rsidRPr="00E47A0F" w:rsidRDefault="00F36ECF" w:rsidP="008036F8">
      <w:pPr>
        <w:pStyle w:val="Heading2"/>
        <w:jc w:val="both"/>
      </w:pPr>
      <w:r w:rsidRPr="00E47A0F">
        <w:t>Institutional practices</w:t>
      </w:r>
    </w:p>
    <w:p w14:paraId="13591171" w14:textId="77777777" w:rsidR="00F36ECF" w:rsidRPr="00E47A0F" w:rsidRDefault="00F36ECF" w:rsidP="008036F8">
      <w:pPr>
        <w:spacing w:line="360" w:lineRule="auto"/>
        <w:jc w:val="both"/>
        <w:rPr>
          <w:rFonts w:ascii="Times New Roman" w:hAnsi="Times New Roman" w:cs="Times New Roman"/>
          <w:sz w:val="24"/>
          <w:szCs w:val="24"/>
        </w:rPr>
      </w:pPr>
      <w:bookmarkStart w:id="6" w:name="_Hlk39243193"/>
      <w:r w:rsidRPr="00E47A0F">
        <w:rPr>
          <w:rFonts w:ascii="Times New Roman" w:hAnsi="Times New Roman" w:cs="Times New Roman"/>
          <w:sz w:val="24"/>
          <w:szCs w:val="24"/>
        </w:rPr>
        <w:t xml:space="preserve">We have discussed social factors within the framework that create pathways of health-promoting resource (in)access, which, in turn, determine both health outcomes and the strategies that individuals use to respond to their social and material environments.  Another crucial aspect of the framework that needs to be considered is the </w:t>
      </w:r>
      <w:r w:rsidRPr="00E47A0F">
        <w:rPr>
          <w:rFonts w:ascii="Times New Roman" w:hAnsi="Times New Roman" w:cs="Times New Roman"/>
          <w:i/>
          <w:sz w:val="24"/>
          <w:szCs w:val="24"/>
        </w:rPr>
        <w:t>institutional practices,</w:t>
      </w:r>
      <w:r w:rsidRPr="00E47A0F">
        <w:rPr>
          <w:rFonts w:ascii="Times New Roman" w:hAnsi="Times New Roman" w:cs="Times New Roman"/>
          <w:sz w:val="24"/>
          <w:szCs w:val="24"/>
        </w:rPr>
        <w:t xml:space="preserve"> which refers to a continuum of formal and informal practices embedded within the social and material structures and processes of indenture that established and maintained social order, power and dominance on the plantations.  </w:t>
      </w:r>
    </w:p>
    <w:p w14:paraId="5AFECCE7" w14:textId="77777777" w:rsidR="00F36ECF" w:rsidRPr="00E47A0F" w:rsidRDefault="00F36ECF"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Such practices were informed through actions which were regulative (rule setting, monitoring, sanctioning actions, thus influencing individuals to comply through fear of punishment), normative (evaluative and obligatory situations, thus influencing individuals to comply through moral obligations), or cultural (meaning making through shared norms and values about the social context, that influence individuals to comply through cultural frames of reference about right and wrong behaviour) (Scott, 2008: 54-57). Institutional practices thus governed the complex web of resource distribution and environmental exposure, and the consequential health outcomes of the plantation-based individuals.</w:t>
      </w:r>
    </w:p>
    <w:p w14:paraId="7C07A43D" w14:textId="77777777" w:rsidR="00F36ECF" w:rsidRPr="00E47A0F" w:rsidRDefault="00F36ECF" w:rsidP="008036F8">
      <w:pPr>
        <w:spacing w:line="360" w:lineRule="auto"/>
        <w:ind w:firstLine="360"/>
        <w:jc w:val="both"/>
        <w:rPr>
          <w:rFonts w:ascii="Times New Roman" w:hAnsi="Times New Roman" w:cs="Times New Roman"/>
          <w:sz w:val="24"/>
          <w:szCs w:val="24"/>
        </w:rPr>
      </w:pPr>
      <w:r w:rsidRPr="00E47A0F">
        <w:rPr>
          <w:rFonts w:ascii="Times New Roman" w:hAnsi="Times New Roman" w:cs="Times New Roman"/>
          <w:sz w:val="24"/>
          <w:szCs w:val="24"/>
        </w:rPr>
        <w:t>Institutional practices are also dynamic, having to be constantly performed and are an important consideration in the inter-play of performances of power, and the employment of social strategies in negotiations and contestations of such practices (Scoones, 1998).  We have ordered the factors that consolidated institutional practices into three contexts. We consider these contexts in relation to their influence on the plantation-based individuals’ social position:</w:t>
      </w:r>
    </w:p>
    <w:p w14:paraId="4C34AEB2" w14:textId="77777777" w:rsidR="00F36ECF" w:rsidRPr="00E47A0F" w:rsidRDefault="00F36ECF" w:rsidP="008036F8">
      <w:pPr>
        <w:pStyle w:val="ListParagraph"/>
        <w:numPr>
          <w:ilvl w:val="0"/>
          <w:numId w:val="2"/>
        </w:num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 xml:space="preserve">Social position and institutional practices determine and are determined by </w:t>
      </w:r>
      <w:r w:rsidRPr="00E47A0F">
        <w:rPr>
          <w:rFonts w:ascii="Times New Roman" w:hAnsi="Times New Roman" w:cs="Times New Roman"/>
          <w:b/>
          <w:i/>
          <w:sz w:val="24"/>
          <w:szCs w:val="24"/>
        </w:rPr>
        <w:t>meta-level, regulatory policies and processes</w:t>
      </w:r>
      <w:r w:rsidRPr="00E47A0F">
        <w:rPr>
          <w:rFonts w:ascii="Times New Roman" w:hAnsi="Times New Roman" w:cs="Times New Roman"/>
          <w:sz w:val="24"/>
          <w:szCs w:val="24"/>
        </w:rPr>
        <w:t xml:space="preserve">.  Factors include contractual rights and obligations </w:t>
      </w:r>
      <w:r w:rsidRPr="00E47A0F">
        <w:rPr>
          <w:rFonts w:ascii="Times New Roman" w:hAnsi="Times New Roman" w:cs="Times New Roman"/>
          <w:sz w:val="24"/>
          <w:szCs w:val="24"/>
        </w:rPr>
        <w:lastRenderedPageBreak/>
        <w:t>on both sides, and governance regarding indenture, indentured labourers, and their offspring.</w:t>
      </w:r>
    </w:p>
    <w:p w14:paraId="1C1ECA4B" w14:textId="77777777" w:rsidR="00F36ECF" w:rsidRPr="00E47A0F" w:rsidRDefault="00F36ECF" w:rsidP="008036F8">
      <w:pPr>
        <w:pStyle w:val="ListParagraph"/>
        <w:numPr>
          <w:ilvl w:val="0"/>
          <w:numId w:val="2"/>
        </w:num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 xml:space="preserve">Social position and institutional practices determine and are determined by access and exposure to the </w:t>
      </w:r>
      <w:r w:rsidRPr="00E47A0F">
        <w:rPr>
          <w:rFonts w:ascii="Times New Roman" w:hAnsi="Times New Roman" w:cs="Times New Roman"/>
          <w:b/>
          <w:i/>
          <w:sz w:val="24"/>
          <w:szCs w:val="24"/>
        </w:rPr>
        <w:t>social and material environments</w:t>
      </w:r>
      <w:r w:rsidRPr="00E47A0F">
        <w:rPr>
          <w:rFonts w:ascii="Times New Roman" w:hAnsi="Times New Roman" w:cs="Times New Roman"/>
          <w:sz w:val="24"/>
          <w:szCs w:val="24"/>
        </w:rPr>
        <w:t xml:space="preserve">.  Examples include community norms, interpersonal relationships, plantation structures of working and living environments, and healthcare availability.  Such environments “both provide resources for health and contain risks for health” and “affect people’s vulnerability to </w:t>
      </w:r>
      <w:r w:rsidRPr="00E47A0F">
        <w:rPr>
          <w:rFonts w:ascii="Times New Roman" w:hAnsi="Times New Roman" w:cs="Times New Roman"/>
          <w:i/>
          <w:sz w:val="24"/>
          <w:szCs w:val="24"/>
        </w:rPr>
        <w:t>illness and injury”</w:t>
      </w:r>
      <w:r w:rsidRPr="00E47A0F">
        <w:rPr>
          <w:rFonts w:ascii="Times New Roman" w:hAnsi="Times New Roman" w:cs="Times New Roman"/>
          <w:sz w:val="24"/>
          <w:szCs w:val="24"/>
        </w:rPr>
        <w:t xml:space="preserve"> (Graham, 2004: 108).</w:t>
      </w:r>
    </w:p>
    <w:p w14:paraId="64435ABD" w14:textId="77777777" w:rsidR="00F36ECF" w:rsidRPr="00E47A0F" w:rsidRDefault="00F36ECF" w:rsidP="008036F8">
      <w:pPr>
        <w:pStyle w:val="ListParagraph"/>
        <w:numPr>
          <w:ilvl w:val="0"/>
          <w:numId w:val="2"/>
        </w:num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 xml:space="preserve">Finally, social position and institutional practices determine and are determined by </w:t>
      </w:r>
      <w:r w:rsidRPr="00E47A0F">
        <w:rPr>
          <w:rFonts w:ascii="Times New Roman" w:hAnsi="Times New Roman" w:cs="Times New Roman"/>
          <w:b/>
          <w:i/>
          <w:noProof/>
          <w:sz w:val="24"/>
          <w:szCs w:val="24"/>
        </w:rPr>
        <w:t>individual-level</w:t>
      </w:r>
      <w:r w:rsidRPr="00E47A0F">
        <w:rPr>
          <w:rFonts w:ascii="Times New Roman" w:hAnsi="Times New Roman" w:cs="Times New Roman"/>
          <w:b/>
          <w:i/>
          <w:sz w:val="24"/>
          <w:szCs w:val="24"/>
        </w:rPr>
        <w:t xml:space="preserve"> behavioural, psychological and physiological factors</w:t>
      </w:r>
      <w:r w:rsidRPr="00E47A0F">
        <w:rPr>
          <w:rFonts w:ascii="Times New Roman" w:hAnsi="Times New Roman" w:cs="Times New Roman"/>
          <w:sz w:val="24"/>
          <w:szCs w:val="24"/>
        </w:rPr>
        <w:t>, which can have a modifying impact against health inequ</w:t>
      </w:r>
      <w:r w:rsidRPr="00E47A0F">
        <w:rPr>
          <w:rStyle w:val="normaltextrun"/>
          <w:rFonts w:ascii="Times New Roman" w:hAnsi="Times New Roman" w:cs="Times New Roman"/>
          <w:color w:val="000000"/>
          <w:sz w:val="24"/>
          <w:szCs w:val="24"/>
          <w:shd w:val="clear" w:color="auto" w:fill="FFFFFF"/>
        </w:rPr>
        <w:t>al</w:t>
      </w:r>
      <w:r w:rsidRPr="00E47A0F">
        <w:rPr>
          <w:rFonts w:ascii="Times New Roman" w:hAnsi="Times New Roman" w:cs="Times New Roman"/>
          <w:sz w:val="24"/>
          <w:szCs w:val="24"/>
        </w:rPr>
        <w:t>ities or can exacerbate the consequences of health inequality.</w:t>
      </w:r>
    </w:p>
    <w:p w14:paraId="06FCE70B" w14:textId="77777777" w:rsidR="00F36ECF" w:rsidRPr="00E47A0F" w:rsidRDefault="00F36ECF" w:rsidP="008036F8">
      <w:pPr>
        <w:spacing w:line="360" w:lineRule="auto"/>
        <w:ind w:firstLine="360"/>
        <w:jc w:val="both"/>
        <w:rPr>
          <w:rFonts w:ascii="Times New Roman" w:hAnsi="Times New Roman" w:cs="Times New Roman"/>
          <w:sz w:val="24"/>
          <w:szCs w:val="24"/>
        </w:rPr>
      </w:pPr>
      <w:r w:rsidRPr="00E47A0F">
        <w:rPr>
          <w:rFonts w:ascii="Times New Roman" w:hAnsi="Times New Roman" w:cs="Times New Roman"/>
          <w:sz w:val="24"/>
          <w:szCs w:val="24"/>
        </w:rPr>
        <w:t xml:space="preserve">During indenture, institutional practices created a complex web of barriers and opportunities for the plantation-based individuals, relative to their social position.  Institutional practices thus played an important role in mediating the plantation-based individuals’ health outcomes.  </w:t>
      </w:r>
    </w:p>
    <w:p w14:paraId="2F38576E" w14:textId="77777777" w:rsidR="00F36ECF" w:rsidRPr="00E47A0F" w:rsidRDefault="00F36ECF" w:rsidP="008036F8">
      <w:pPr>
        <w:spacing w:line="360" w:lineRule="auto"/>
        <w:ind w:firstLine="360"/>
        <w:jc w:val="both"/>
        <w:rPr>
          <w:rFonts w:ascii="Times New Roman" w:hAnsi="Times New Roman" w:cs="Times New Roman"/>
          <w:sz w:val="24"/>
          <w:szCs w:val="24"/>
        </w:rPr>
      </w:pPr>
      <w:r w:rsidRPr="00E47A0F">
        <w:rPr>
          <w:rFonts w:ascii="Times New Roman" w:hAnsi="Times New Roman" w:cs="Times New Roman"/>
          <w:sz w:val="24"/>
          <w:szCs w:val="24"/>
        </w:rPr>
        <w:t>For the majority of the plantation-based individuals, the combination of institutional practices and social position created a vicious cycle, with adverse consequences for their health outcomes.  An individual’s social position determined the allocation and (in)access to health-promoting resources within each of these clusters of factors.  In turn, the non-access to such resources restricted social position within the societal hierarchy through limiters on earning potential, types of employment opportunities, and upward mobility (Lal, 2015).</w:t>
      </w:r>
    </w:p>
    <w:bookmarkEnd w:id="6"/>
    <w:p w14:paraId="20A87BD4" w14:textId="77777777" w:rsidR="00F36ECF" w:rsidRDefault="00F36ECF" w:rsidP="008036F8">
      <w:pPr>
        <w:spacing w:line="360" w:lineRule="auto"/>
        <w:jc w:val="both"/>
        <w:rPr>
          <w:rFonts w:ascii="Times New Roman" w:hAnsi="Times New Roman" w:cs="Times New Roman"/>
          <w:sz w:val="24"/>
          <w:szCs w:val="24"/>
        </w:rPr>
      </w:pPr>
    </w:p>
    <w:p w14:paraId="206DFFD0" w14:textId="17DF806B" w:rsidR="00F27427" w:rsidRPr="00E47A0F" w:rsidRDefault="00F27427" w:rsidP="008036F8">
      <w:pPr>
        <w:pStyle w:val="Heading1"/>
        <w:jc w:val="both"/>
      </w:pPr>
      <w:r w:rsidRPr="00E47A0F">
        <w:t>Method</w:t>
      </w:r>
    </w:p>
    <w:p w14:paraId="1EF6D2B4" w14:textId="77777777" w:rsidR="00F27427" w:rsidRPr="00E47A0F" w:rsidRDefault="00F27427" w:rsidP="008036F8">
      <w:pPr>
        <w:spacing w:line="360" w:lineRule="auto"/>
        <w:jc w:val="both"/>
        <w:rPr>
          <w:rFonts w:ascii="Times New Roman" w:hAnsi="Times New Roman" w:cs="Times New Roman"/>
          <w:sz w:val="24"/>
          <w:szCs w:val="24"/>
        </w:rPr>
      </w:pPr>
      <w:r w:rsidRPr="00E47A0F">
        <w:rPr>
          <w:rFonts w:ascii="Times New Roman" w:hAnsi="Times New Roman" w:cs="Times New Roman"/>
          <w:i/>
          <w:sz w:val="24"/>
          <w:szCs w:val="24"/>
        </w:rPr>
        <w:t>Data</w:t>
      </w:r>
      <w:r w:rsidRPr="00E47A0F">
        <w:rPr>
          <w:rFonts w:ascii="Times New Roman" w:hAnsi="Times New Roman" w:cs="Times New Roman"/>
          <w:sz w:val="24"/>
          <w:szCs w:val="24"/>
        </w:rPr>
        <w:t xml:space="preserve">: Using search terms ‘indenture and Suriname’ and ‘indenture and Fiji’, we developed a corpus of 137 peer-reviewed English-language data items, which were retrieved from databases Proquest and Google Scholar.  The corpus comprised of journal articles, books, book chapters and encyclopaedia entries.  </w:t>
      </w:r>
    </w:p>
    <w:p w14:paraId="552EE4C3" w14:textId="77777777" w:rsidR="00F27427" w:rsidRPr="00E47A0F" w:rsidRDefault="00F27427"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 xml:space="preserve">Data items were examined and further restricted to discussions related to indenture experiences on the plantations of Suriname and Fiji.  Data items that fell outside these pre-defined criteria were: (i) studies that provided pan-indenture discussions across the colonies </w:t>
      </w:r>
      <w:r w:rsidRPr="00E47A0F">
        <w:rPr>
          <w:rFonts w:ascii="Times New Roman" w:hAnsi="Times New Roman" w:cs="Times New Roman"/>
          <w:sz w:val="24"/>
          <w:szCs w:val="24"/>
        </w:rPr>
        <w:lastRenderedPageBreak/>
        <w:t xml:space="preserve">without specific reference to indenture plantations in the two countries; (ii) generalized discussions across the Caribbean indenture plantations, without specific discussions about Surinamese plantations.  Such studies were more oriented </w:t>
      </w:r>
      <w:r w:rsidRPr="00E47A0F">
        <w:rPr>
          <w:rFonts w:ascii="Times New Roman" w:hAnsi="Times New Roman" w:cs="Times New Roman"/>
          <w:noProof/>
          <w:sz w:val="24"/>
          <w:szCs w:val="24"/>
        </w:rPr>
        <w:t>toward</w:t>
      </w:r>
      <w:r w:rsidRPr="00E47A0F">
        <w:rPr>
          <w:rFonts w:ascii="Times New Roman" w:hAnsi="Times New Roman" w:cs="Times New Roman"/>
          <w:sz w:val="24"/>
          <w:szCs w:val="24"/>
        </w:rPr>
        <w:t xml:space="preserve"> Trinidadian case studies.  (iii) Other excluded studies were those that mentioned Suriname and/or Fiji in passing but focussed on recruitment processes in India and voyage to the colonies.  (iv) Studies were also excluded if they mentioned indenture in passing but their emphasis was on post-indenture experiences in Suriname and/or Fiji.  (iv) Finally, data items were further analysed for evidence-based arguments.  Only those items that provided substantiated evidence from archival records (such as colonial reports, eyewitness accounts, oral history, and letters) were included in the analysis.  Forty data items were manually discarded for one or more of the above reasons and the final data set consisted of 97 articles: 23 for Suriname and 74 for Fiji.</w:t>
      </w:r>
    </w:p>
    <w:p w14:paraId="0E47E1F4" w14:textId="6DEB76DD" w:rsidR="00F27427" w:rsidRPr="00E47A0F" w:rsidRDefault="00F27427" w:rsidP="008036F8">
      <w:pPr>
        <w:spacing w:line="360" w:lineRule="auto"/>
        <w:jc w:val="both"/>
        <w:rPr>
          <w:rFonts w:ascii="Times New Roman" w:hAnsi="Times New Roman" w:cs="Times New Roman"/>
          <w:sz w:val="24"/>
          <w:szCs w:val="24"/>
        </w:rPr>
      </w:pPr>
      <w:r w:rsidRPr="00E47A0F">
        <w:rPr>
          <w:rFonts w:ascii="Times New Roman" w:hAnsi="Times New Roman" w:cs="Times New Roman"/>
          <w:i/>
          <w:sz w:val="24"/>
          <w:szCs w:val="24"/>
        </w:rPr>
        <w:t>Data abstraction</w:t>
      </w:r>
      <w:r w:rsidRPr="00E47A0F">
        <w:rPr>
          <w:rFonts w:ascii="Times New Roman" w:hAnsi="Times New Roman" w:cs="Times New Roman"/>
          <w:sz w:val="24"/>
          <w:szCs w:val="24"/>
        </w:rPr>
        <w:t xml:space="preserve">: Through a process of thematic analysis, the study developed a </w:t>
      </w:r>
      <w:r w:rsidRPr="00E47A0F">
        <w:rPr>
          <w:rFonts w:ascii="Times New Roman" w:hAnsi="Times New Roman" w:cs="Times New Roman"/>
          <w:noProof/>
          <w:sz w:val="24"/>
          <w:szCs w:val="24"/>
        </w:rPr>
        <w:t>three-tiered</w:t>
      </w:r>
      <w:r w:rsidRPr="00E47A0F">
        <w:rPr>
          <w:rFonts w:ascii="Times New Roman" w:hAnsi="Times New Roman" w:cs="Times New Roman"/>
          <w:sz w:val="24"/>
          <w:szCs w:val="24"/>
        </w:rPr>
        <w:t xml:space="preserve"> hierarchy: </w:t>
      </w:r>
      <w:r w:rsidR="00376A65" w:rsidRPr="00E47A0F">
        <w:rPr>
          <w:rFonts w:ascii="Times New Roman" w:hAnsi="Times New Roman" w:cs="Times New Roman"/>
          <w:sz w:val="24"/>
          <w:szCs w:val="24"/>
        </w:rPr>
        <w:t xml:space="preserve">type </w:t>
      </w:r>
      <w:r w:rsidRPr="00E47A0F">
        <w:rPr>
          <w:rFonts w:ascii="Times New Roman" w:hAnsi="Times New Roman" w:cs="Times New Roman"/>
          <w:sz w:val="24"/>
          <w:szCs w:val="24"/>
        </w:rPr>
        <w:t xml:space="preserve">codes, </w:t>
      </w:r>
      <w:r w:rsidR="00376A65" w:rsidRPr="00E47A0F">
        <w:rPr>
          <w:rFonts w:ascii="Times New Roman" w:hAnsi="Times New Roman" w:cs="Times New Roman"/>
          <w:sz w:val="24"/>
          <w:szCs w:val="24"/>
        </w:rPr>
        <w:t>expressions</w:t>
      </w:r>
      <w:r w:rsidRPr="00E47A0F">
        <w:rPr>
          <w:rFonts w:ascii="Times New Roman" w:hAnsi="Times New Roman" w:cs="Times New Roman"/>
          <w:sz w:val="24"/>
          <w:szCs w:val="24"/>
        </w:rPr>
        <w:t xml:space="preserve"> (thematic sub-categories) and </w:t>
      </w:r>
      <w:r w:rsidR="00376A65" w:rsidRPr="00E47A0F">
        <w:rPr>
          <w:rFonts w:ascii="Times New Roman" w:hAnsi="Times New Roman" w:cs="Times New Roman"/>
          <w:sz w:val="24"/>
          <w:szCs w:val="24"/>
        </w:rPr>
        <w:t>context</w:t>
      </w:r>
      <w:r w:rsidRPr="00E47A0F">
        <w:rPr>
          <w:rFonts w:ascii="Times New Roman" w:hAnsi="Times New Roman" w:cs="Times New Roman"/>
          <w:sz w:val="24"/>
          <w:szCs w:val="24"/>
        </w:rPr>
        <w:t xml:space="preserve"> (thematic meta-categories)</w:t>
      </w:r>
      <w:r w:rsidR="00D76D58">
        <w:rPr>
          <w:rFonts w:ascii="Times New Roman" w:hAnsi="Times New Roman" w:cs="Times New Roman"/>
          <w:sz w:val="24"/>
          <w:szCs w:val="24"/>
        </w:rPr>
        <w:t xml:space="preserve"> as seen in Figure 1</w:t>
      </w:r>
      <w:r w:rsidRPr="00E47A0F">
        <w:rPr>
          <w:rFonts w:ascii="Times New Roman" w:hAnsi="Times New Roman" w:cs="Times New Roman"/>
          <w:sz w:val="24"/>
          <w:szCs w:val="24"/>
        </w:rPr>
        <w:t xml:space="preserve">.  </w:t>
      </w:r>
    </w:p>
    <w:p w14:paraId="64946CE0" w14:textId="36E68FC1" w:rsidR="00F27427" w:rsidRPr="00E47A0F" w:rsidRDefault="00F27427"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 xml:space="preserve">Occurrences of causality, consequence and response in relation to the research question were identified within each data item.  Because the study’s aim was to capture the social determinants within Suriname and Fiji’s plantation environments, the study recorded all occurrences of causality, consequence and response presented within the data set for each country.  All identified occurrences within the data set were initially recorded as </w:t>
      </w:r>
      <w:r w:rsidR="006F2086" w:rsidRPr="00E47A0F">
        <w:rPr>
          <w:rFonts w:ascii="Times New Roman" w:hAnsi="Times New Roman" w:cs="Times New Roman"/>
          <w:i/>
          <w:sz w:val="24"/>
          <w:szCs w:val="24"/>
        </w:rPr>
        <w:t>causal</w:t>
      </w:r>
      <w:r w:rsidR="006F2086" w:rsidRPr="00E47A0F">
        <w:rPr>
          <w:rFonts w:ascii="Times New Roman" w:hAnsi="Times New Roman" w:cs="Times New Roman"/>
          <w:sz w:val="24"/>
          <w:szCs w:val="24"/>
        </w:rPr>
        <w:t xml:space="preserve"> </w:t>
      </w:r>
      <w:r w:rsidR="00376A65" w:rsidRPr="00E47A0F">
        <w:rPr>
          <w:rFonts w:ascii="Times New Roman" w:hAnsi="Times New Roman" w:cs="Times New Roman"/>
          <w:i/>
          <w:sz w:val="24"/>
          <w:szCs w:val="24"/>
        </w:rPr>
        <w:t>type</w:t>
      </w:r>
      <w:r w:rsidR="006F2086" w:rsidRPr="00E47A0F">
        <w:rPr>
          <w:rFonts w:ascii="Times New Roman" w:hAnsi="Times New Roman" w:cs="Times New Roman"/>
          <w:i/>
          <w:sz w:val="24"/>
          <w:szCs w:val="24"/>
        </w:rPr>
        <w:t xml:space="preserve">, consequence type </w:t>
      </w:r>
      <w:r w:rsidR="006F2086" w:rsidRPr="00E47A0F">
        <w:rPr>
          <w:rFonts w:ascii="Times New Roman" w:hAnsi="Times New Roman" w:cs="Times New Roman"/>
          <w:sz w:val="24"/>
          <w:szCs w:val="24"/>
        </w:rPr>
        <w:t xml:space="preserve">or </w:t>
      </w:r>
      <w:r w:rsidR="006F2086" w:rsidRPr="00E47A0F">
        <w:rPr>
          <w:rFonts w:ascii="Times New Roman" w:hAnsi="Times New Roman" w:cs="Times New Roman"/>
          <w:i/>
          <w:sz w:val="24"/>
          <w:szCs w:val="24"/>
        </w:rPr>
        <w:t>response type</w:t>
      </w:r>
      <w:r w:rsidR="00376A65" w:rsidRPr="00E47A0F">
        <w:rPr>
          <w:rFonts w:ascii="Times New Roman" w:hAnsi="Times New Roman" w:cs="Times New Roman"/>
          <w:sz w:val="24"/>
          <w:szCs w:val="24"/>
        </w:rPr>
        <w:t xml:space="preserve"> </w:t>
      </w:r>
      <w:r w:rsidRPr="00E47A0F">
        <w:rPr>
          <w:rFonts w:ascii="Times New Roman" w:hAnsi="Times New Roman" w:cs="Times New Roman"/>
          <w:sz w:val="24"/>
          <w:szCs w:val="24"/>
        </w:rPr>
        <w:t>codes.</w:t>
      </w:r>
      <w:r w:rsidR="0067778D" w:rsidRPr="00E47A0F">
        <w:rPr>
          <w:rFonts w:ascii="Times New Roman" w:hAnsi="Times New Roman" w:cs="Times New Roman"/>
          <w:sz w:val="24"/>
          <w:szCs w:val="24"/>
        </w:rPr>
        <w:t xml:space="preserve">  </w:t>
      </w:r>
      <w:r w:rsidR="006F2086" w:rsidRPr="00E47A0F">
        <w:rPr>
          <w:rFonts w:ascii="Times New Roman" w:hAnsi="Times New Roman" w:cs="Times New Roman"/>
          <w:i/>
          <w:sz w:val="24"/>
          <w:szCs w:val="24"/>
        </w:rPr>
        <w:t>Causal t</w:t>
      </w:r>
      <w:r w:rsidR="0067778D" w:rsidRPr="00E47A0F">
        <w:rPr>
          <w:rFonts w:ascii="Times New Roman" w:hAnsi="Times New Roman" w:cs="Times New Roman"/>
          <w:i/>
          <w:sz w:val="24"/>
          <w:szCs w:val="24"/>
        </w:rPr>
        <w:t>ypes</w:t>
      </w:r>
      <w:r w:rsidR="0067778D" w:rsidRPr="00E47A0F">
        <w:rPr>
          <w:rFonts w:ascii="Times New Roman" w:hAnsi="Times New Roman" w:cs="Times New Roman"/>
          <w:sz w:val="24"/>
          <w:szCs w:val="24"/>
        </w:rPr>
        <w:t xml:space="preserve"> were identified as codes that related to the occurrence of </w:t>
      </w:r>
      <w:r w:rsidR="009A7075" w:rsidRPr="00E47A0F">
        <w:rPr>
          <w:rFonts w:ascii="Times New Roman" w:hAnsi="Times New Roman" w:cs="Times New Roman"/>
          <w:sz w:val="24"/>
          <w:szCs w:val="24"/>
        </w:rPr>
        <w:t xml:space="preserve">an </w:t>
      </w:r>
      <w:r w:rsidR="0067778D" w:rsidRPr="00E47A0F">
        <w:rPr>
          <w:rFonts w:ascii="Times New Roman" w:hAnsi="Times New Roman" w:cs="Times New Roman"/>
          <w:sz w:val="24"/>
          <w:szCs w:val="24"/>
        </w:rPr>
        <w:t xml:space="preserve">act, which, from the perspective of the people living on the plantation, </w:t>
      </w:r>
      <w:r w:rsidR="002A4815" w:rsidRPr="00E47A0F">
        <w:rPr>
          <w:rFonts w:ascii="Times New Roman" w:hAnsi="Times New Roman" w:cs="Times New Roman"/>
          <w:sz w:val="24"/>
          <w:szCs w:val="24"/>
        </w:rPr>
        <w:t xml:space="preserve">was a marker of </w:t>
      </w:r>
      <w:r w:rsidR="0067778D" w:rsidRPr="00E47A0F">
        <w:rPr>
          <w:rFonts w:ascii="Times New Roman" w:hAnsi="Times New Roman" w:cs="Times New Roman"/>
          <w:sz w:val="24"/>
          <w:szCs w:val="24"/>
        </w:rPr>
        <w:t>inequality.</w:t>
      </w:r>
      <w:r w:rsidR="006F2086" w:rsidRPr="00E47A0F">
        <w:rPr>
          <w:rFonts w:ascii="Times New Roman" w:hAnsi="Times New Roman" w:cs="Times New Roman"/>
          <w:sz w:val="24"/>
          <w:szCs w:val="24"/>
        </w:rPr>
        <w:t xml:space="preserve">  </w:t>
      </w:r>
      <w:r w:rsidR="006F2086" w:rsidRPr="00E47A0F">
        <w:rPr>
          <w:rFonts w:ascii="Times New Roman" w:hAnsi="Times New Roman" w:cs="Times New Roman"/>
          <w:i/>
          <w:sz w:val="24"/>
          <w:szCs w:val="24"/>
        </w:rPr>
        <w:t>Consequence types</w:t>
      </w:r>
      <w:r w:rsidR="006F2086" w:rsidRPr="00E47A0F">
        <w:rPr>
          <w:rFonts w:ascii="Times New Roman" w:hAnsi="Times New Roman" w:cs="Times New Roman"/>
          <w:sz w:val="24"/>
          <w:szCs w:val="24"/>
        </w:rPr>
        <w:t xml:space="preserve"> were identified as codes that related to the embodiment of poor health outcomes for the people living on the plantation.</w:t>
      </w:r>
      <w:r w:rsidR="008E1F17" w:rsidRPr="00E47A0F">
        <w:rPr>
          <w:rFonts w:ascii="Times New Roman" w:hAnsi="Times New Roman" w:cs="Times New Roman"/>
          <w:sz w:val="24"/>
          <w:szCs w:val="24"/>
        </w:rPr>
        <w:t xml:space="preserve">  </w:t>
      </w:r>
      <w:r w:rsidR="008E1F17" w:rsidRPr="00E47A0F">
        <w:rPr>
          <w:rFonts w:ascii="Times New Roman" w:hAnsi="Times New Roman" w:cs="Times New Roman"/>
          <w:i/>
          <w:sz w:val="24"/>
          <w:szCs w:val="24"/>
        </w:rPr>
        <w:t>R</w:t>
      </w:r>
      <w:r w:rsidR="006F2086" w:rsidRPr="00E47A0F">
        <w:rPr>
          <w:rFonts w:ascii="Times New Roman" w:hAnsi="Times New Roman" w:cs="Times New Roman"/>
          <w:i/>
          <w:sz w:val="24"/>
          <w:szCs w:val="24"/>
        </w:rPr>
        <w:t>esponse type</w:t>
      </w:r>
      <w:r w:rsidR="008E1F17" w:rsidRPr="00E47A0F">
        <w:rPr>
          <w:rFonts w:ascii="Times New Roman" w:hAnsi="Times New Roman" w:cs="Times New Roman"/>
          <w:i/>
          <w:sz w:val="24"/>
          <w:szCs w:val="24"/>
        </w:rPr>
        <w:t xml:space="preserve">s </w:t>
      </w:r>
      <w:r w:rsidR="008E1F17" w:rsidRPr="00E47A0F">
        <w:rPr>
          <w:rFonts w:ascii="Times New Roman" w:hAnsi="Times New Roman" w:cs="Times New Roman"/>
          <w:sz w:val="24"/>
          <w:szCs w:val="24"/>
        </w:rPr>
        <w:t>were identified as codes that related to the plantation-based individuals’ response to an act of inequality.</w:t>
      </w:r>
      <w:r w:rsidR="00D355FA" w:rsidRPr="00E47A0F">
        <w:rPr>
          <w:rFonts w:ascii="Times New Roman" w:hAnsi="Times New Roman" w:cs="Times New Roman"/>
          <w:sz w:val="24"/>
          <w:szCs w:val="24"/>
        </w:rPr>
        <w:t xml:space="preserve">  </w:t>
      </w:r>
      <w:r w:rsidRPr="00E47A0F">
        <w:rPr>
          <w:rFonts w:ascii="Times New Roman" w:hAnsi="Times New Roman" w:cs="Times New Roman"/>
          <w:sz w:val="24"/>
          <w:szCs w:val="24"/>
        </w:rPr>
        <w:t xml:space="preserve">Prevalence of </w:t>
      </w:r>
      <w:r w:rsidR="00376A65" w:rsidRPr="00E47A0F">
        <w:rPr>
          <w:rFonts w:ascii="Times New Roman" w:hAnsi="Times New Roman" w:cs="Times New Roman"/>
          <w:i/>
          <w:sz w:val="24"/>
          <w:szCs w:val="24"/>
        </w:rPr>
        <w:t>type</w:t>
      </w:r>
      <w:r w:rsidR="00376A65" w:rsidRPr="00E47A0F">
        <w:rPr>
          <w:rFonts w:ascii="Times New Roman" w:hAnsi="Times New Roman" w:cs="Times New Roman"/>
          <w:sz w:val="24"/>
          <w:szCs w:val="24"/>
        </w:rPr>
        <w:t xml:space="preserve"> </w:t>
      </w:r>
      <w:r w:rsidRPr="00E47A0F">
        <w:rPr>
          <w:rFonts w:ascii="Times New Roman" w:hAnsi="Times New Roman" w:cs="Times New Roman"/>
          <w:sz w:val="24"/>
          <w:szCs w:val="24"/>
        </w:rPr>
        <w:t>codes was not considered because this would be determined by each author’s emphasis and subject-matter (e.g. violence on indenture plantations (Naidu</w:t>
      </w:r>
      <w:r w:rsidR="00A973F4" w:rsidRPr="00E47A0F">
        <w:rPr>
          <w:rFonts w:ascii="Times New Roman" w:hAnsi="Times New Roman" w:cs="Times New Roman"/>
          <w:sz w:val="24"/>
          <w:szCs w:val="24"/>
        </w:rPr>
        <w:t>, 2004</w:t>
      </w:r>
      <w:r w:rsidRPr="00E47A0F">
        <w:rPr>
          <w:rFonts w:ascii="Times New Roman" w:hAnsi="Times New Roman" w:cs="Times New Roman"/>
          <w:sz w:val="24"/>
          <w:szCs w:val="24"/>
        </w:rPr>
        <w:t>) versus prevalence of morbidity and mortality rates on plantations (Fowler</w:t>
      </w:r>
      <w:r w:rsidR="00A973F4" w:rsidRPr="00E47A0F">
        <w:rPr>
          <w:rFonts w:ascii="Times New Roman" w:hAnsi="Times New Roman" w:cs="Times New Roman"/>
          <w:sz w:val="24"/>
          <w:szCs w:val="24"/>
        </w:rPr>
        <w:t>, 2000</w:t>
      </w:r>
      <w:r w:rsidRPr="00E47A0F">
        <w:rPr>
          <w:rFonts w:ascii="Times New Roman" w:hAnsi="Times New Roman" w:cs="Times New Roman"/>
          <w:sz w:val="24"/>
          <w:szCs w:val="24"/>
        </w:rPr>
        <w:t xml:space="preserve">)).  In total, </w:t>
      </w:r>
      <w:r w:rsidR="00740676" w:rsidRPr="00E47A0F">
        <w:rPr>
          <w:rFonts w:ascii="Times New Roman" w:hAnsi="Times New Roman" w:cs="Times New Roman"/>
          <w:sz w:val="24"/>
          <w:szCs w:val="24"/>
        </w:rPr>
        <w:t>238</w:t>
      </w:r>
      <w:r w:rsidRPr="00E47A0F">
        <w:rPr>
          <w:rFonts w:ascii="Times New Roman" w:hAnsi="Times New Roman" w:cs="Times New Roman"/>
          <w:sz w:val="24"/>
          <w:szCs w:val="24"/>
        </w:rPr>
        <w:t xml:space="preserve"> </w:t>
      </w:r>
      <w:r w:rsidR="00376A65" w:rsidRPr="00E47A0F">
        <w:rPr>
          <w:rFonts w:ascii="Times New Roman" w:hAnsi="Times New Roman" w:cs="Times New Roman"/>
          <w:i/>
          <w:sz w:val="24"/>
          <w:szCs w:val="24"/>
        </w:rPr>
        <w:t>type</w:t>
      </w:r>
      <w:r w:rsidR="00376A65" w:rsidRPr="00E47A0F">
        <w:rPr>
          <w:rFonts w:ascii="Times New Roman" w:hAnsi="Times New Roman" w:cs="Times New Roman"/>
          <w:sz w:val="24"/>
          <w:szCs w:val="24"/>
        </w:rPr>
        <w:t xml:space="preserve"> </w:t>
      </w:r>
      <w:r w:rsidRPr="00E47A0F">
        <w:rPr>
          <w:rFonts w:ascii="Times New Roman" w:hAnsi="Times New Roman" w:cs="Times New Roman"/>
          <w:sz w:val="24"/>
          <w:szCs w:val="24"/>
        </w:rPr>
        <w:t>codes were identified</w:t>
      </w:r>
      <w:r w:rsidR="008E1F17" w:rsidRPr="00E47A0F">
        <w:rPr>
          <w:rFonts w:ascii="Times New Roman" w:hAnsi="Times New Roman" w:cs="Times New Roman"/>
          <w:sz w:val="24"/>
          <w:szCs w:val="24"/>
        </w:rPr>
        <w:t xml:space="preserve">: 102 </w:t>
      </w:r>
      <w:r w:rsidR="008E1F17" w:rsidRPr="00E47A0F">
        <w:rPr>
          <w:rFonts w:ascii="Times New Roman" w:hAnsi="Times New Roman" w:cs="Times New Roman"/>
          <w:i/>
          <w:sz w:val="24"/>
          <w:szCs w:val="24"/>
        </w:rPr>
        <w:t>causal</w:t>
      </w:r>
      <w:r w:rsidR="008E1F17" w:rsidRPr="00E47A0F">
        <w:rPr>
          <w:rFonts w:ascii="Times New Roman" w:hAnsi="Times New Roman" w:cs="Times New Roman"/>
          <w:sz w:val="24"/>
          <w:szCs w:val="24"/>
        </w:rPr>
        <w:t xml:space="preserve"> </w:t>
      </w:r>
      <w:r w:rsidR="008E1F17" w:rsidRPr="00E47A0F">
        <w:rPr>
          <w:rFonts w:ascii="Times New Roman" w:hAnsi="Times New Roman" w:cs="Times New Roman"/>
          <w:i/>
          <w:sz w:val="24"/>
          <w:szCs w:val="24"/>
        </w:rPr>
        <w:t xml:space="preserve">types, </w:t>
      </w:r>
      <w:r w:rsidR="008E1F17" w:rsidRPr="00E47A0F">
        <w:rPr>
          <w:rFonts w:ascii="Times New Roman" w:hAnsi="Times New Roman" w:cs="Times New Roman"/>
          <w:sz w:val="24"/>
          <w:szCs w:val="24"/>
        </w:rPr>
        <w:t xml:space="preserve">88 </w:t>
      </w:r>
      <w:r w:rsidR="008E1F17" w:rsidRPr="00E47A0F">
        <w:rPr>
          <w:rFonts w:ascii="Times New Roman" w:hAnsi="Times New Roman" w:cs="Times New Roman"/>
          <w:i/>
          <w:sz w:val="24"/>
          <w:szCs w:val="24"/>
        </w:rPr>
        <w:t xml:space="preserve">consequence types </w:t>
      </w:r>
      <w:r w:rsidR="008E1F17" w:rsidRPr="00E47A0F">
        <w:rPr>
          <w:rFonts w:ascii="Times New Roman" w:hAnsi="Times New Roman" w:cs="Times New Roman"/>
          <w:sz w:val="24"/>
          <w:szCs w:val="24"/>
        </w:rPr>
        <w:t xml:space="preserve">and 48 </w:t>
      </w:r>
      <w:r w:rsidR="008E1F17" w:rsidRPr="00E47A0F">
        <w:rPr>
          <w:rFonts w:ascii="Times New Roman" w:hAnsi="Times New Roman" w:cs="Times New Roman"/>
          <w:i/>
          <w:sz w:val="24"/>
          <w:szCs w:val="24"/>
        </w:rPr>
        <w:t>response types.</w:t>
      </w:r>
      <w:r w:rsidRPr="00E47A0F">
        <w:rPr>
          <w:rFonts w:ascii="Times New Roman" w:hAnsi="Times New Roman" w:cs="Times New Roman"/>
          <w:sz w:val="24"/>
          <w:szCs w:val="24"/>
        </w:rPr>
        <w:t xml:space="preserve">  </w:t>
      </w:r>
    </w:p>
    <w:p w14:paraId="3DDFE7EA" w14:textId="7A69A942" w:rsidR="00D355FA" w:rsidRPr="00E47A0F" w:rsidRDefault="00376A65"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i/>
          <w:sz w:val="24"/>
          <w:szCs w:val="24"/>
        </w:rPr>
        <w:t>Type</w:t>
      </w:r>
      <w:r w:rsidRPr="00E47A0F">
        <w:rPr>
          <w:rFonts w:ascii="Times New Roman" w:hAnsi="Times New Roman" w:cs="Times New Roman"/>
          <w:sz w:val="24"/>
          <w:szCs w:val="24"/>
        </w:rPr>
        <w:t xml:space="preserve"> c</w:t>
      </w:r>
      <w:r w:rsidR="00F27427" w:rsidRPr="00E47A0F">
        <w:rPr>
          <w:rFonts w:ascii="Times New Roman" w:hAnsi="Times New Roman" w:cs="Times New Roman"/>
          <w:sz w:val="24"/>
          <w:szCs w:val="24"/>
        </w:rPr>
        <w:t>odes were then analysed for idea patterns, or ‘themes’ (</w:t>
      </w:r>
      <w:r w:rsidR="00F27427" w:rsidRPr="00E47A0F">
        <w:rPr>
          <w:rFonts w:ascii="Times New Roman" w:hAnsi="Times New Roman" w:cs="Times New Roman"/>
          <w:color w:val="222222"/>
          <w:sz w:val="24"/>
          <w:szCs w:val="24"/>
          <w:shd w:val="clear" w:color="auto" w:fill="FFFFFF"/>
        </w:rPr>
        <w:t>Braun &amp; Clarke, 2006</w:t>
      </w:r>
      <w:r w:rsidR="00F27427" w:rsidRPr="00E47A0F">
        <w:rPr>
          <w:rFonts w:ascii="Times New Roman" w:hAnsi="Times New Roman" w:cs="Times New Roman"/>
          <w:sz w:val="24"/>
          <w:szCs w:val="24"/>
        </w:rPr>
        <w:t xml:space="preserve">) that would allow the codes to be clustered under </w:t>
      </w:r>
      <w:r w:rsidR="00F27427" w:rsidRPr="00E47A0F">
        <w:rPr>
          <w:rFonts w:ascii="Times New Roman" w:hAnsi="Times New Roman" w:cs="Times New Roman"/>
          <w:iCs/>
          <w:sz w:val="24"/>
          <w:szCs w:val="24"/>
        </w:rPr>
        <w:t>thematic categories</w:t>
      </w:r>
      <w:r w:rsidRPr="00E47A0F">
        <w:rPr>
          <w:rFonts w:ascii="Times New Roman" w:hAnsi="Times New Roman" w:cs="Times New Roman"/>
          <w:sz w:val="24"/>
          <w:szCs w:val="24"/>
        </w:rPr>
        <w:t xml:space="preserve">, labelled </w:t>
      </w:r>
      <w:r w:rsidRPr="00E47A0F">
        <w:rPr>
          <w:rFonts w:ascii="Times New Roman" w:hAnsi="Times New Roman" w:cs="Times New Roman"/>
          <w:i/>
          <w:sz w:val="24"/>
          <w:szCs w:val="24"/>
        </w:rPr>
        <w:t>expressions</w:t>
      </w:r>
      <w:r w:rsidR="0067778D" w:rsidRPr="00E47A0F">
        <w:rPr>
          <w:rFonts w:ascii="Times New Roman" w:hAnsi="Times New Roman" w:cs="Times New Roman"/>
          <w:sz w:val="24"/>
          <w:szCs w:val="24"/>
        </w:rPr>
        <w:t xml:space="preserve">.  </w:t>
      </w:r>
      <w:r w:rsidR="0067778D" w:rsidRPr="00E47A0F">
        <w:rPr>
          <w:rFonts w:ascii="Times New Roman" w:hAnsi="Times New Roman" w:cs="Times New Roman"/>
          <w:i/>
          <w:sz w:val="24"/>
          <w:szCs w:val="24"/>
        </w:rPr>
        <w:t>Expressions</w:t>
      </w:r>
      <w:r w:rsidR="0067778D" w:rsidRPr="00E47A0F">
        <w:rPr>
          <w:rFonts w:ascii="Times New Roman" w:hAnsi="Times New Roman" w:cs="Times New Roman"/>
          <w:sz w:val="24"/>
          <w:szCs w:val="24"/>
        </w:rPr>
        <w:t xml:space="preserve"> were identified as </w:t>
      </w:r>
      <w:bookmarkStart w:id="7" w:name="_Hlk10205431"/>
      <w:r w:rsidR="0067778D" w:rsidRPr="00E47A0F">
        <w:rPr>
          <w:rFonts w:ascii="Times New Roman" w:hAnsi="Times New Roman" w:cs="Times New Roman"/>
          <w:sz w:val="24"/>
          <w:szCs w:val="24"/>
        </w:rPr>
        <w:t xml:space="preserve">the </w:t>
      </w:r>
      <w:r w:rsidR="00DD58E4" w:rsidRPr="00E47A0F">
        <w:rPr>
          <w:rFonts w:ascii="Times New Roman" w:hAnsi="Times New Roman" w:cs="Times New Roman"/>
          <w:sz w:val="24"/>
          <w:szCs w:val="24"/>
        </w:rPr>
        <w:t>manner</w:t>
      </w:r>
      <w:r w:rsidR="0067778D" w:rsidRPr="00E47A0F">
        <w:rPr>
          <w:rFonts w:ascii="Times New Roman" w:hAnsi="Times New Roman" w:cs="Times New Roman"/>
          <w:sz w:val="24"/>
          <w:szCs w:val="24"/>
        </w:rPr>
        <w:t xml:space="preserve"> in which the act</w:t>
      </w:r>
      <w:r w:rsidR="00F419E4" w:rsidRPr="00E47A0F">
        <w:rPr>
          <w:rFonts w:ascii="Times New Roman" w:hAnsi="Times New Roman" w:cs="Times New Roman"/>
          <w:sz w:val="24"/>
          <w:szCs w:val="24"/>
        </w:rPr>
        <w:t xml:space="preserve"> of cause, consequence or response</w:t>
      </w:r>
      <w:r w:rsidR="0067778D" w:rsidRPr="00E47A0F">
        <w:rPr>
          <w:rFonts w:ascii="Times New Roman" w:hAnsi="Times New Roman" w:cs="Times New Roman"/>
          <w:sz w:val="24"/>
          <w:szCs w:val="24"/>
        </w:rPr>
        <w:t xml:space="preserve"> </w:t>
      </w:r>
      <w:r w:rsidR="0067778D" w:rsidRPr="00E47A0F">
        <w:rPr>
          <w:rFonts w:ascii="Times New Roman" w:hAnsi="Times New Roman" w:cs="Times New Roman"/>
          <w:sz w:val="24"/>
          <w:szCs w:val="24"/>
        </w:rPr>
        <w:lastRenderedPageBreak/>
        <w:t xml:space="preserve">was </w:t>
      </w:r>
      <w:r w:rsidR="00DD58E4" w:rsidRPr="00E47A0F">
        <w:rPr>
          <w:rFonts w:ascii="Times New Roman" w:hAnsi="Times New Roman" w:cs="Times New Roman"/>
          <w:sz w:val="24"/>
          <w:szCs w:val="24"/>
        </w:rPr>
        <w:t>conducted</w:t>
      </w:r>
      <w:bookmarkEnd w:id="7"/>
      <w:r w:rsidR="00F27427" w:rsidRPr="00E47A0F">
        <w:rPr>
          <w:rFonts w:ascii="Times New Roman" w:hAnsi="Times New Roman" w:cs="Times New Roman"/>
          <w:sz w:val="24"/>
          <w:szCs w:val="24"/>
        </w:rPr>
        <w:t xml:space="preserve">.  The following </w:t>
      </w:r>
      <w:r w:rsidR="00E831F1" w:rsidRPr="00E47A0F">
        <w:rPr>
          <w:rFonts w:ascii="Times New Roman" w:hAnsi="Times New Roman" w:cs="Times New Roman"/>
          <w:sz w:val="24"/>
          <w:szCs w:val="24"/>
        </w:rPr>
        <w:t>3</w:t>
      </w:r>
      <w:r w:rsidR="00F27427" w:rsidRPr="00E47A0F">
        <w:rPr>
          <w:rFonts w:ascii="Times New Roman" w:hAnsi="Times New Roman" w:cs="Times New Roman"/>
          <w:sz w:val="24"/>
          <w:szCs w:val="24"/>
        </w:rPr>
        <w:t xml:space="preserve">9 thematic categories </w:t>
      </w:r>
      <w:r w:rsidRPr="00E47A0F">
        <w:rPr>
          <w:rFonts w:ascii="Times New Roman" w:hAnsi="Times New Roman" w:cs="Times New Roman"/>
          <w:sz w:val="24"/>
          <w:szCs w:val="24"/>
        </w:rPr>
        <w:t xml:space="preserve">of </w:t>
      </w:r>
      <w:r w:rsidRPr="00E47A0F">
        <w:rPr>
          <w:rFonts w:ascii="Times New Roman" w:hAnsi="Times New Roman" w:cs="Times New Roman"/>
          <w:i/>
          <w:sz w:val="24"/>
          <w:szCs w:val="24"/>
        </w:rPr>
        <w:t>expression</w:t>
      </w:r>
      <w:r w:rsidRPr="00E47A0F">
        <w:rPr>
          <w:rFonts w:ascii="Times New Roman" w:hAnsi="Times New Roman" w:cs="Times New Roman"/>
          <w:sz w:val="24"/>
          <w:szCs w:val="24"/>
        </w:rPr>
        <w:t xml:space="preserve"> </w:t>
      </w:r>
      <w:r w:rsidR="00F27427" w:rsidRPr="00E47A0F">
        <w:rPr>
          <w:rFonts w:ascii="Times New Roman" w:hAnsi="Times New Roman" w:cs="Times New Roman"/>
          <w:sz w:val="24"/>
          <w:szCs w:val="24"/>
        </w:rPr>
        <w:t>were established: Contract, judicial process, verdict, indenture policy, response to global influences, working conditions, infrastructure impacting acculturation, socio-economics, healthcare provisions, housing quality, diseases on plantations, norms and values, knowledge and belief, common language, physical control, destruction, discrimination, physical violation, emotional and psychological manipulation, morbidity and mortality rates of male labourers,</w:t>
      </w:r>
      <w:r w:rsidR="00D355FA" w:rsidRPr="00E47A0F">
        <w:rPr>
          <w:rFonts w:ascii="Times New Roman" w:hAnsi="Times New Roman" w:cs="Times New Roman"/>
          <w:sz w:val="24"/>
          <w:szCs w:val="24"/>
        </w:rPr>
        <w:t xml:space="preserve"> behavioural risk factors for male labourers,</w:t>
      </w:r>
      <w:r w:rsidR="00F27427" w:rsidRPr="00E47A0F">
        <w:rPr>
          <w:rFonts w:ascii="Times New Roman" w:hAnsi="Times New Roman" w:cs="Times New Roman"/>
          <w:sz w:val="24"/>
          <w:szCs w:val="24"/>
        </w:rPr>
        <w:t xml:space="preserve"> inability to work for male labourers, food scarcity and deprivation for male labourers, </w:t>
      </w:r>
      <w:r w:rsidR="00D355FA" w:rsidRPr="00E47A0F">
        <w:rPr>
          <w:rFonts w:ascii="Times New Roman" w:hAnsi="Times New Roman" w:cs="Times New Roman"/>
          <w:sz w:val="24"/>
          <w:szCs w:val="24"/>
        </w:rPr>
        <w:t xml:space="preserve">morbidity and </w:t>
      </w:r>
      <w:r w:rsidR="00F27427" w:rsidRPr="00E47A0F">
        <w:rPr>
          <w:rFonts w:ascii="Times New Roman" w:hAnsi="Times New Roman" w:cs="Times New Roman"/>
          <w:sz w:val="24"/>
          <w:szCs w:val="24"/>
        </w:rPr>
        <w:t>mortality rates of female labourers, labourers-before-mothers, inability to work for female labourers, food scarcity and deprivation for female labourers,</w:t>
      </w:r>
      <w:r w:rsidR="00D355FA" w:rsidRPr="00E47A0F">
        <w:rPr>
          <w:rFonts w:ascii="Times New Roman" w:hAnsi="Times New Roman" w:cs="Times New Roman"/>
          <w:sz w:val="24"/>
          <w:szCs w:val="24"/>
        </w:rPr>
        <w:t xml:space="preserve"> behavioural risk factors for female labourers,</w:t>
      </w:r>
      <w:r w:rsidR="00F27427" w:rsidRPr="00E47A0F">
        <w:rPr>
          <w:rFonts w:ascii="Times New Roman" w:hAnsi="Times New Roman" w:cs="Times New Roman"/>
          <w:sz w:val="24"/>
          <w:szCs w:val="24"/>
        </w:rPr>
        <w:t xml:space="preserve"> morbidity and mortality rates of infants and children, child welfare</w:t>
      </w:r>
      <w:r w:rsidR="00D355FA" w:rsidRPr="00E47A0F">
        <w:rPr>
          <w:rFonts w:ascii="Times New Roman" w:hAnsi="Times New Roman" w:cs="Times New Roman"/>
          <w:sz w:val="24"/>
          <w:szCs w:val="24"/>
        </w:rPr>
        <w:t xml:space="preserve">, non-compliance </w:t>
      </w:r>
      <w:r w:rsidR="00E831F1" w:rsidRPr="00E47A0F">
        <w:rPr>
          <w:rFonts w:ascii="Times New Roman" w:hAnsi="Times New Roman" w:cs="Times New Roman"/>
          <w:sz w:val="24"/>
          <w:szCs w:val="24"/>
        </w:rPr>
        <w:t xml:space="preserve">response </w:t>
      </w:r>
      <w:r w:rsidR="00D355FA" w:rsidRPr="00E47A0F">
        <w:rPr>
          <w:rFonts w:ascii="Times New Roman" w:hAnsi="Times New Roman" w:cs="Times New Roman"/>
          <w:sz w:val="24"/>
          <w:szCs w:val="24"/>
        </w:rPr>
        <w:t xml:space="preserve">strategies </w:t>
      </w:r>
      <w:r w:rsidR="00E831F1" w:rsidRPr="00E47A0F">
        <w:rPr>
          <w:rFonts w:ascii="Times New Roman" w:hAnsi="Times New Roman" w:cs="Times New Roman"/>
          <w:sz w:val="24"/>
          <w:szCs w:val="24"/>
        </w:rPr>
        <w:t>at</w:t>
      </w:r>
      <w:r w:rsidR="00D355FA" w:rsidRPr="00E47A0F">
        <w:rPr>
          <w:rFonts w:ascii="Times New Roman" w:hAnsi="Times New Roman" w:cs="Times New Roman"/>
          <w:sz w:val="24"/>
          <w:szCs w:val="24"/>
        </w:rPr>
        <w:t xml:space="preserve"> a community level, </w:t>
      </w:r>
      <w:r w:rsidR="00E831F1" w:rsidRPr="00E47A0F">
        <w:rPr>
          <w:rFonts w:ascii="Times New Roman" w:hAnsi="Times New Roman" w:cs="Times New Roman"/>
          <w:sz w:val="24"/>
          <w:szCs w:val="24"/>
        </w:rPr>
        <w:t xml:space="preserve">adaptation response strategies at a community level, measures of limited or full compliance response strategies at a community level, non-compliance response strategies used by individual male labourers, adaptation strategies used by individual male labourers, measures of limited or full compliance strategies used by individual male labourers, non-compliance response strategies used by individual female labourers, adaptation strategies used by individual female labourers, measures of limited or full compliance strategies used by individual female labourers. </w:t>
      </w:r>
    </w:p>
    <w:p w14:paraId="5270D2BF" w14:textId="2746AE52" w:rsidR="00F27427" w:rsidRDefault="00F27427"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 xml:space="preserve">In the final stage, the thematic categories were further consolidated into the following </w:t>
      </w:r>
      <w:r w:rsidR="00E831F1" w:rsidRPr="00E47A0F">
        <w:rPr>
          <w:rFonts w:ascii="Times New Roman" w:hAnsi="Times New Roman" w:cs="Times New Roman"/>
          <w:sz w:val="24"/>
          <w:szCs w:val="24"/>
        </w:rPr>
        <w:t>10</w:t>
      </w:r>
      <w:r w:rsidRPr="00E47A0F">
        <w:rPr>
          <w:rFonts w:ascii="Times New Roman" w:hAnsi="Times New Roman" w:cs="Times New Roman"/>
          <w:sz w:val="24"/>
          <w:szCs w:val="24"/>
        </w:rPr>
        <w:t xml:space="preserve"> thematic levels</w:t>
      </w:r>
      <w:r w:rsidR="00376A65" w:rsidRPr="00E47A0F">
        <w:rPr>
          <w:rFonts w:ascii="Times New Roman" w:hAnsi="Times New Roman" w:cs="Times New Roman"/>
          <w:sz w:val="24"/>
          <w:szCs w:val="24"/>
        </w:rPr>
        <w:t xml:space="preserve">, labelled </w:t>
      </w:r>
      <w:r w:rsidR="00376A65" w:rsidRPr="00E47A0F">
        <w:rPr>
          <w:rFonts w:ascii="Times New Roman" w:hAnsi="Times New Roman" w:cs="Times New Roman"/>
          <w:i/>
          <w:sz w:val="24"/>
          <w:szCs w:val="24"/>
        </w:rPr>
        <w:t>context</w:t>
      </w:r>
      <w:r w:rsidR="0067778D" w:rsidRPr="00E47A0F">
        <w:rPr>
          <w:rFonts w:ascii="Times New Roman" w:hAnsi="Times New Roman" w:cs="Times New Roman"/>
          <w:i/>
          <w:sz w:val="24"/>
          <w:szCs w:val="24"/>
        </w:rPr>
        <w:t>.  Contexts</w:t>
      </w:r>
      <w:r w:rsidR="0067778D" w:rsidRPr="00E47A0F">
        <w:rPr>
          <w:rFonts w:ascii="Times New Roman" w:hAnsi="Times New Roman" w:cs="Times New Roman"/>
          <w:sz w:val="24"/>
          <w:szCs w:val="24"/>
        </w:rPr>
        <w:t xml:space="preserve"> were identified as </w:t>
      </w:r>
      <w:bookmarkStart w:id="8" w:name="_Hlk10205458"/>
      <w:r w:rsidR="0067778D" w:rsidRPr="00E47A0F">
        <w:rPr>
          <w:rFonts w:ascii="Times New Roman" w:hAnsi="Times New Roman" w:cs="Times New Roman"/>
          <w:sz w:val="24"/>
          <w:szCs w:val="24"/>
        </w:rPr>
        <w:t xml:space="preserve">the </w:t>
      </w:r>
      <w:r w:rsidR="009A00F2" w:rsidRPr="00E47A0F">
        <w:rPr>
          <w:rFonts w:ascii="Times New Roman" w:hAnsi="Times New Roman" w:cs="Times New Roman"/>
          <w:sz w:val="24"/>
          <w:szCs w:val="24"/>
        </w:rPr>
        <w:t xml:space="preserve">situated </w:t>
      </w:r>
      <w:r w:rsidR="00A62E25" w:rsidRPr="00E47A0F">
        <w:rPr>
          <w:rFonts w:ascii="Times New Roman" w:hAnsi="Times New Roman" w:cs="Times New Roman"/>
          <w:sz w:val="24"/>
          <w:szCs w:val="24"/>
        </w:rPr>
        <w:t>manifestation</w:t>
      </w:r>
      <w:r w:rsidR="0067778D" w:rsidRPr="00E47A0F">
        <w:rPr>
          <w:rFonts w:ascii="Times New Roman" w:hAnsi="Times New Roman" w:cs="Times New Roman"/>
          <w:sz w:val="24"/>
          <w:szCs w:val="24"/>
        </w:rPr>
        <w:t xml:space="preserve"> of the</w:t>
      </w:r>
      <w:bookmarkEnd w:id="8"/>
      <w:r w:rsidR="00A62E25" w:rsidRPr="00E47A0F">
        <w:rPr>
          <w:rFonts w:ascii="Times New Roman" w:hAnsi="Times New Roman" w:cs="Times New Roman"/>
          <w:sz w:val="24"/>
          <w:szCs w:val="24"/>
        </w:rPr>
        <w:t xml:space="preserve"> act</w:t>
      </w:r>
      <w:r w:rsidRPr="00E47A0F">
        <w:rPr>
          <w:rFonts w:ascii="Times New Roman" w:hAnsi="Times New Roman" w:cs="Times New Roman"/>
          <w:sz w:val="24"/>
          <w:szCs w:val="24"/>
        </w:rPr>
        <w:t xml:space="preserve">: Institutional policies and practices, plantation-level structures, community level, inter-personal relationship, </w:t>
      </w:r>
      <w:r w:rsidR="00E831F1" w:rsidRPr="00E47A0F">
        <w:rPr>
          <w:rFonts w:ascii="Times New Roman" w:hAnsi="Times New Roman" w:cs="Times New Roman"/>
          <w:sz w:val="24"/>
          <w:szCs w:val="24"/>
        </w:rPr>
        <w:t xml:space="preserve">individual level health outcomes for male labourers, individual level health outcomes for female labourers, individual level health outcomes for infants and children, community level response, </w:t>
      </w:r>
      <w:r w:rsidRPr="00E47A0F">
        <w:rPr>
          <w:rFonts w:ascii="Times New Roman" w:hAnsi="Times New Roman" w:cs="Times New Roman"/>
          <w:sz w:val="24"/>
          <w:szCs w:val="24"/>
        </w:rPr>
        <w:t>individual level response for male labourers, individual leve</w:t>
      </w:r>
      <w:r w:rsidR="00E831F1" w:rsidRPr="00E47A0F">
        <w:rPr>
          <w:rFonts w:ascii="Times New Roman" w:hAnsi="Times New Roman" w:cs="Times New Roman"/>
          <w:sz w:val="24"/>
          <w:szCs w:val="24"/>
        </w:rPr>
        <w:t>l response for female labourers</w:t>
      </w:r>
      <w:r w:rsidRPr="00E47A0F">
        <w:rPr>
          <w:rFonts w:ascii="Times New Roman" w:hAnsi="Times New Roman" w:cs="Times New Roman"/>
          <w:sz w:val="24"/>
          <w:szCs w:val="24"/>
        </w:rPr>
        <w:t xml:space="preserve">.    </w:t>
      </w:r>
    </w:p>
    <w:p w14:paraId="5D9A3CE4" w14:textId="77777777" w:rsidR="00F36ECF" w:rsidRDefault="00F36ECF" w:rsidP="008036F8">
      <w:pPr>
        <w:spacing w:line="360" w:lineRule="auto"/>
        <w:ind w:firstLine="720"/>
        <w:jc w:val="both"/>
        <w:rPr>
          <w:rFonts w:ascii="Times New Roman" w:hAnsi="Times New Roman" w:cs="Times New Roman"/>
          <w:sz w:val="24"/>
          <w:szCs w:val="24"/>
        </w:rPr>
      </w:pPr>
    </w:p>
    <w:p w14:paraId="3CD050F0" w14:textId="77777777" w:rsidR="008036F8" w:rsidRDefault="008036F8">
      <w:pPr>
        <w:rPr>
          <w:rFonts w:ascii="Times New Roman" w:hAnsi="Times New Roman" w:cs="Times New Roman"/>
          <w:b/>
          <w:bCs/>
          <w:color w:val="333333"/>
          <w:shd w:val="clear" w:color="auto" w:fill="FFFFFF"/>
        </w:rPr>
      </w:pPr>
      <w:r>
        <w:rPr>
          <w:rFonts w:ascii="Times New Roman" w:hAnsi="Times New Roman" w:cs="Times New Roman"/>
          <w:b/>
          <w:bCs/>
          <w:color w:val="333333"/>
          <w:shd w:val="clear" w:color="auto" w:fill="FFFFFF"/>
        </w:rPr>
        <w:br w:type="page"/>
      </w:r>
    </w:p>
    <w:p w14:paraId="016EA252" w14:textId="63F4AE51" w:rsidR="00D76D58" w:rsidRPr="00E47A0F" w:rsidRDefault="00D76D58" w:rsidP="008036F8">
      <w:pPr>
        <w:spacing w:line="360" w:lineRule="auto"/>
        <w:jc w:val="both"/>
        <w:rPr>
          <w:rFonts w:ascii="Times New Roman" w:hAnsi="Times New Roman" w:cs="Times New Roman"/>
          <w:b/>
          <w:bCs/>
          <w:color w:val="333333"/>
          <w:shd w:val="clear" w:color="auto" w:fill="FFFFFF"/>
        </w:rPr>
      </w:pPr>
      <w:bookmarkStart w:id="9" w:name="_GoBack"/>
      <w:bookmarkEnd w:id="9"/>
      <w:r w:rsidRPr="00E47A0F">
        <w:rPr>
          <w:rFonts w:ascii="Times New Roman" w:hAnsi="Times New Roman" w:cs="Times New Roman"/>
          <w:b/>
          <w:bCs/>
          <w:color w:val="333333"/>
          <w:shd w:val="clear" w:color="auto" w:fill="FFFFFF"/>
        </w:rPr>
        <w:lastRenderedPageBreak/>
        <w:t>Figure 1: Framework to analyse cause and response to inequities in the indentured labour diaspora</w:t>
      </w:r>
    </w:p>
    <w:p w14:paraId="0C55C762" w14:textId="3EDCCD7C" w:rsidR="00D76D58" w:rsidRPr="00E47A0F" w:rsidRDefault="00D76D58" w:rsidP="008036F8">
      <w:pPr>
        <w:tabs>
          <w:tab w:val="left" w:pos="1260"/>
        </w:tabs>
        <w:jc w:val="both"/>
        <w:rPr>
          <w:rFonts w:ascii="Times New Roman" w:hAnsi="Times New Roman" w:cs="Times New Roman"/>
        </w:rPr>
      </w:pPr>
      <w:r w:rsidRPr="008572FE">
        <w:rPr>
          <w:noProof/>
          <w:lang w:val="en-US"/>
        </w:rPr>
        <mc:AlternateContent>
          <mc:Choice Requires="wps">
            <w:drawing>
              <wp:anchor distT="0" distB="0" distL="114300" distR="114300" simplePos="0" relativeHeight="251664384" behindDoc="0" locked="0" layoutInCell="1" hidden="0" allowOverlap="1" wp14:anchorId="044D399A" wp14:editId="1C35802A">
                <wp:simplePos x="0" y="0"/>
                <wp:positionH relativeFrom="column">
                  <wp:posOffset>4558999</wp:posOffset>
                </wp:positionH>
                <wp:positionV relativeFrom="paragraph">
                  <wp:posOffset>1906745</wp:posOffset>
                </wp:positionV>
                <wp:extent cx="1763741" cy="658495"/>
                <wp:effectExtent l="0" t="0" r="8255" b="8255"/>
                <wp:wrapNone/>
                <wp:docPr id="5" name="Rectangle 5"/>
                <wp:cNvGraphicFramePr/>
                <a:graphic xmlns:a="http://schemas.openxmlformats.org/drawingml/2006/main">
                  <a:graphicData uri="http://schemas.microsoft.com/office/word/2010/wordprocessingShape">
                    <wps:wsp>
                      <wps:cNvSpPr/>
                      <wps:spPr>
                        <a:xfrm>
                          <a:off x="0" y="0"/>
                          <a:ext cx="1763741" cy="658495"/>
                        </a:xfrm>
                        <a:prstGeom prst="rect">
                          <a:avLst/>
                        </a:prstGeom>
                        <a:solidFill>
                          <a:sysClr val="window" lastClr="FFFFFF"/>
                        </a:solidFill>
                        <a:ln>
                          <a:noFill/>
                        </a:ln>
                      </wps:spPr>
                      <wps:txbx>
                        <w:txbxContent>
                          <w:p w14:paraId="40274751" w14:textId="3089C1BD" w:rsidR="00D76D58" w:rsidRDefault="00D76D58" w:rsidP="00D76D58">
                            <w:pPr>
                              <w:spacing w:line="258" w:lineRule="auto"/>
                              <w:textDirection w:val="btLr"/>
                            </w:pPr>
                            <w:r>
                              <w:rPr>
                                <w:rFonts w:ascii="Calibri" w:eastAsia="Calibri" w:hAnsi="Calibri" w:cs="Calibri"/>
                                <w:color w:val="000000"/>
                              </w:rPr>
                              <w:t xml:space="preserve">Level 3: Type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4D399A" id="Rectangle 5" o:spid="_x0000_s1026" style="position:absolute;margin-left:359pt;margin-top:150.15pt;width:138.9pt;height:5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" fillcolor="window" stroked="f">
                <v:textbox inset="2.53958mm,1.2694mm,2.53958mm,1.2694mm">
                  <w:txbxContent>
                    <w:p w14:paraId="40274751" w14:textId="3089C1BD" w:rsidR="00D76D58" w:rsidRDefault="00D76D58" w:rsidP="00D76D58">
                      <w:pPr>
                        <w:spacing w:line="258" w:lineRule="auto"/>
                        <w:textDirection w:val="btLr"/>
                      </w:pPr>
                      <w:r>
                        <w:rPr>
                          <w:rFonts w:ascii="Calibri" w:eastAsia="Calibri" w:hAnsi="Calibri" w:cs="Calibri"/>
                          <w:color w:val="000000"/>
                        </w:rPr>
                        <w:t>Level 3</w:t>
                      </w:r>
                      <w:r>
                        <w:rPr>
                          <w:rFonts w:ascii="Calibri" w:eastAsia="Calibri" w:hAnsi="Calibri" w:cs="Calibri"/>
                          <w:color w:val="000000"/>
                        </w:rPr>
                        <w:t xml:space="preserve">: Type </w:t>
                      </w:r>
                    </w:p>
                  </w:txbxContent>
                </v:textbox>
              </v:rect>
            </w:pict>
          </mc:Fallback>
        </mc:AlternateContent>
      </w:r>
      <w:r>
        <w:rPr>
          <w:noProof/>
          <w:lang w:val="en-US"/>
        </w:rPr>
        <mc:AlternateContent>
          <mc:Choice Requires="wps">
            <w:drawing>
              <wp:anchor distT="0" distB="0" distL="114300" distR="114300" simplePos="0" relativeHeight="251660288" behindDoc="0" locked="0" layoutInCell="1" hidden="0" allowOverlap="1" wp14:anchorId="0F987A73" wp14:editId="76C734EF">
                <wp:simplePos x="0" y="0"/>
                <wp:positionH relativeFrom="column">
                  <wp:posOffset>4511328</wp:posOffset>
                </wp:positionH>
                <wp:positionV relativeFrom="paragraph">
                  <wp:posOffset>966344</wp:posOffset>
                </wp:positionV>
                <wp:extent cx="1464773" cy="463700"/>
                <wp:effectExtent l="0" t="0" r="2540" b="0"/>
                <wp:wrapNone/>
                <wp:docPr id="12" name="Rectangle 12"/>
                <wp:cNvGraphicFramePr/>
                <a:graphic xmlns:a="http://schemas.openxmlformats.org/drawingml/2006/main">
                  <a:graphicData uri="http://schemas.microsoft.com/office/word/2010/wordprocessingShape">
                    <wps:wsp>
                      <wps:cNvSpPr/>
                      <wps:spPr>
                        <a:xfrm>
                          <a:off x="0" y="0"/>
                          <a:ext cx="1464773" cy="463700"/>
                        </a:xfrm>
                        <a:prstGeom prst="rect">
                          <a:avLst/>
                        </a:prstGeom>
                        <a:solidFill>
                          <a:schemeClr val="lt1"/>
                        </a:solidFill>
                        <a:ln>
                          <a:noFill/>
                        </a:ln>
                      </wps:spPr>
                      <wps:txbx>
                        <w:txbxContent>
                          <w:p w14:paraId="01003E9C" w14:textId="3732A794" w:rsidR="00D76D58" w:rsidRDefault="00D76D58" w:rsidP="00D76D58">
                            <w:pPr>
                              <w:spacing w:line="258" w:lineRule="auto"/>
                              <w:textDirection w:val="btLr"/>
                            </w:pPr>
                            <w:r>
                              <w:rPr>
                                <w:rFonts w:ascii="Calibri" w:eastAsia="Calibri" w:hAnsi="Calibri" w:cs="Calibri"/>
                                <w:color w:val="000000"/>
                              </w:rPr>
                              <w:t>Level 1: Context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987A73" id="Rectangle 12" o:spid="_x0000_s1027" style="position:absolute;margin-left:355.2pt;margin-top:76.1pt;width:115.3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" fillcolor="white [3201]" stroked="f">
                <v:textbox inset="2.53958mm,1.2694mm,2.53958mm,1.2694mm">
                  <w:txbxContent>
                    <w:p w14:paraId="01003E9C" w14:textId="3732A794" w:rsidR="00D76D58" w:rsidRDefault="00D76D58" w:rsidP="00D76D58">
                      <w:pPr>
                        <w:spacing w:line="258" w:lineRule="auto"/>
                        <w:textDirection w:val="btLr"/>
                      </w:pPr>
                      <w:r>
                        <w:rPr>
                          <w:rFonts w:ascii="Calibri" w:eastAsia="Calibri" w:hAnsi="Calibri" w:cs="Calibri"/>
                          <w:color w:val="000000"/>
                        </w:rPr>
                        <w:t>Level 1</w:t>
                      </w:r>
                      <w:r>
                        <w:rPr>
                          <w:rFonts w:ascii="Calibri" w:eastAsia="Calibri" w:hAnsi="Calibri" w:cs="Calibri"/>
                          <w:color w:val="000000"/>
                        </w:rPr>
                        <w:t>: Context</w:t>
                      </w:r>
                    </w:p>
                  </w:txbxContent>
                </v:textbox>
              </v:rect>
            </w:pict>
          </mc:Fallback>
        </mc:AlternateContent>
      </w:r>
      <w:r w:rsidRPr="008572FE">
        <w:rPr>
          <w:noProof/>
          <w:lang w:val="en-US"/>
        </w:rPr>
        <mc:AlternateContent>
          <mc:Choice Requires="wps">
            <w:drawing>
              <wp:anchor distT="0" distB="0" distL="114300" distR="114300" simplePos="0" relativeHeight="251663360" behindDoc="0" locked="0" layoutInCell="1" hidden="0" allowOverlap="1" wp14:anchorId="32EC9AEE" wp14:editId="5E361E6B">
                <wp:simplePos x="0" y="0"/>
                <wp:positionH relativeFrom="column">
                  <wp:posOffset>4550331</wp:posOffset>
                </wp:positionH>
                <wp:positionV relativeFrom="paragraph">
                  <wp:posOffset>1438710</wp:posOffset>
                </wp:positionV>
                <wp:extent cx="1685789" cy="433365"/>
                <wp:effectExtent l="0" t="0" r="0" b="5080"/>
                <wp:wrapNone/>
                <wp:docPr id="4" name="Rectangle 4"/>
                <wp:cNvGraphicFramePr/>
                <a:graphic xmlns:a="http://schemas.openxmlformats.org/drawingml/2006/main">
                  <a:graphicData uri="http://schemas.microsoft.com/office/word/2010/wordprocessingShape">
                    <wps:wsp>
                      <wps:cNvSpPr/>
                      <wps:spPr>
                        <a:xfrm>
                          <a:off x="0" y="0"/>
                          <a:ext cx="1685789" cy="433365"/>
                        </a:xfrm>
                        <a:prstGeom prst="rect">
                          <a:avLst/>
                        </a:prstGeom>
                        <a:solidFill>
                          <a:sysClr val="window" lastClr="FFFFFF"/>
                        </a:solidFill>
                        <a:ln>
                          <a:noFill/>
                        </a:ln>
                      </wps:spPr>
                      <wps:txbx>
                        <w:txbxContent>
                          <w:p w14:paraId="3DE7CF15" w14:textId="485E4094" w:rsidR="00D76D58" w:rsidRDefault="00D76D58" w:rsidP="00D76D58">
                            <w:pPr>
                              <w:spacing w:line="258" w:lineRule="auto"/>
                              <w:textDirection w:val="btLr"/>
                            </w:pPr>
                            <w:r>
                              <w:rPr>
                                <w:rFonts w:ascii="Calibri" w:eastAsia="Calibri" w:hAnsi="Calibri" w:cs="Calibri"/>
                                <w:color w:val="000000"/>
                              </w:rPr>
                              <w:t>Level 2: Expression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EC9AEE" id="Rectangle 4" o:spid="_x0000_s1028" style="position:absolute;margin-left:358.3pt;margin-top:113.3pt;width:132.75pt;height:3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" fillcolor="window" stroked="f">
                <v:textbox inset="2.53958mm,1.2694mm,2.53958mm,1.2694mm">
                  <w:txbxContent>
                    <w:p w14:paraId="3DE7CF15" w14:textId="485E4094" w:rsidR="00D76D58" w:rsidRDefault="00D76D58" w:rsidP="00D76D58">
                      <w:pPr>
                        <w:spacing w:line="258" w:lineRule="auto"/>
                        <w:textDirection w:val="btLr"/>
                      </w:pPr>
                      <w:r>
                        <w:rPr>
                          <w:rFonts w:ascii="Calibri" w:eastAsia="Calibri" w:hAnsi="Calibri" w:cs="Calibri"/>
                          <w:color w:val="000000"/>
                        </w:rPr>
                        <w:t>Level 2</w:t>
                      </w:r>
                      <w:r>
                        <w:rPr>
                          <w:rFonts w:ascii="Calibri" w:eastAsia="Calibri" w:hAnsi="Calibri" w:cs="Calibri"/>
                          <w:color w:val="000000"/>
                        </w:rPr>
                        <w:t>: Expression</w:t>
                      </w:r>
                    </w:p>
                  </w:txbxContent>
                </v:textbox>
              </v:rect>
            </w:pict>
          </mc:Fallback>
        </mc:AlternateContent>
      </w:r>
      <w:r>
        <w:rPr>
          <w:noProof/>
          <w:lang w:val="en-US"/>
        </w:rPr>
        <mc:AlternateContent>
          <mc:Choice Requires="wps">
            <w:drawing>
              <wp:anchor distT="0" distB="0" distL="114300" distR="114300" simplePos="0" relativeHeight="251662336" behindDoc="0" locked="0" layoutInCell="1" hidden="0" allowOverlap="1" wp14:anchorId="3F1A95E5" wp14:editId="79F54728">
                <wp:simplePos x="0" y="0"/>
                <wp:positionH relativeFrom="column">
                  <wp:posOffset>4043296</wp:posOffset>
                </wp:positionH>
                <wp:positionV relativeFrom="paragraph">
                  <wp:posOffset>1959652</wp:posOffset>
                </wp:positionV>
                <wp:extent cx="567708" cy="45719"/>
                <wp:effectExtent l="38100" t="38100" r="22860" b="88265"/>
                <wp:wrapNone/>
                <wp:docPr id="3" name="Straight Arrow Connector 3"/>
                <wp:cNvGraphicFramePr/>
                <a:graphic xmlns:a="http://schemas.openxmlformats.org/drawingml/2006/main">
                  <a:graphicData uri="http://schemas.microsoft.com/office/word/2010/wordprocessingShape">
                    <wps:wsp>
                      <wps:cNvCnPr/>
                      <wps:spPr>
                        <a:xfrm rot="10800000" flipH="1">
                          <a:off x="0" y="0"/>
                          <a:ext cx="567708" cy="45719"/>
                        </a:xfrm>
                        <a:prstGeom prst="straightConnector1">
                          <a:avLst/>
                        </a:prstGeom>
                        <a:noFill/>
                        <a:ln w="12700" cap="flat" cmpd="sng">
                          <a:solidFill>
                            <a:schemeClr val="dk1"/>
                          </a:solidFill>
                          <a:prstDash val="solid"/>
                          <a:miter lim="800000"/>
                          <a:headEnd type="triangle" w="med" len="med"/>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832ECD5" id="_x0000_t32" coordsize="21600,21600" o:spt="32" o:oned="t" path="m,l21600,21600e" filled="f">
                <v:path arrowok="t" fillok="f" o:connecttype="none"/>
                <o:lock v:ext="edit" shapetype="t"/>
              </v:shapetype>
              <v:shape id="Straight Arrow Connector 3" o:spid="_x0000_s1026" type="#_x0000_t32" style="position:absolute;margin-left:318.35pt;margin-top:154.3pt;width:44.7pt;height:3.6pt;rotation:18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" strokecolor="black [3200]" strokeweight="1pt">
                <v:stroke startarrow="block" endarrowwidth="narrow" endarrowlength="short" joinstyle="miter"/>
              </v:shape>
            </w:pict>
          </mc:Fallback>
        </mc:AlternateContent>
      </w:r>
      <w:r>
        <w:rPr>
          <w:noProof/>
          <w:lang w:val="en-US"/>
        </w:rPr>
        <mc:AlternateContent>
          <mc:Choice Requires="wps">
            <w:drawing>
              <wp:anchor distT="0" distB="0" distL="114300" distR="114300" simplePos="0" relativeHeight="251661312" behindDoc="0" locked="0" layoutInCell="1" hidden="0" allowOverlap="1" wp14:anchorId="51B7C8FC" wp14:editId="3BE32D57">
                <wp:simplePos x="0" y="0"/>
                <wp:positionH relativeFrom="column">
                  <wp:posOffset>3600751</wp:posOffset>
                </wp:positionH>
                <wp:positionV relativeFrom="paragraph">
                  <wp:posOffset>1574334</wp:posOffset>
                </wp:positionV>
                <wp:extent cx="935466" cy="45719"/>
                <wp:effectExtent l="38100" t="38100" r="36195" b="88265"/>
                <wp:wrapNone/>
                <wp:docPr id="11" name="Straight Arrow Connector 11"/>
                <wp:cNvGraphicFramePr/>
                <a:graphic xmlns:a="http://schemas.openxmlformats.org/drawingml/2006/main">
                  <a:graphicData uri="http://schemas.microsoft.com/office/word/2010/wordprocessingShape">
                    <wps:wsp>
                      <wps:cNvCnPr/>
                      <wps:spPr>
                        <a:xfrm rot="10800000" flipH="1">
                          <a:off x="0" y="0"/>
                          <a:ext cx="935466" cy="45719"/>
                        </a:xfrm>
                        <a:prstGeom prst="straightConnector1">
                          <a:avLst/>
                        </a:prstGeom>
                        <a:noFill/>
                        <a:ln w="12700" cap="flat" cmpd="sng">
                          <a:solidFill>
                            <a:schemeClr val="dk1"/>
                          </a:solidFill>
                          <a:prstDash val="solid"/>
                          <a:miter lim="800000"/>
                          <a:headEnd type="triangle" w="med" len="med"/>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2E68515A" id="Straight Arrow Connector 11" o:spid="_x0000_s1026" type="#_x0000_t32" style="position:absolute;margin-left:283.5pt;margin-top:123.95pt;width:73.65pt;height:3.6pt;rotation:18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" strokecolor="black [3200]" strokeweight="1pt">
                <v:stroke startarrow="block" endarrowwidth="narrow" endarrowlength="short" joinstyle="miter"/>
              </v:shape>
            </w:pict>
          </mc:Fallback>
        </mc:AlternateContent>
      </w:r>
      <w:r>
        <w:rPr>
          <w:noProof/>
          <w:lang w:val="en-US"/>
        </w:rPr>
        <mc:AlternateContent>
          <mc:Choice Requires="wps">
            <w:drawing>
              <wp:anchor distT="0" distB="0" distL="114300" distR="114300" simplePos="0" relativeHeight="251659264" behindDoc="0" locked="0" layoutInCell="1" hidden="0" allowOverlap="1" wp14:anchorId="400E8BB2" wp14:editId="0912025C">
                <wp:simplePos x="0" y="0"/>
                <wp:positionH relativeFrom="column">
                  <wp:posOffset>2790870</wp:posOffset>
                </wp:positionH>
                <wp:positionV relativeFrom="paragraph">
                  <wp:posOffset>1101289</wp:posOffset>
                </wp:positionV>
                <wp:extent cx="1711792" cy="45719"/>
                <wp:effectExtent l="38100" t="38100" r="22225" b="88265"/>
                <wp:wrapNone/>
                <wp:docPr id="14" name="Straight Arrow Connector 14"/>
                <wp:cNvGraphicFramePr/>
                <a:graphic xmlns:a="http://schemas.openxmlformats.org/drawingml/2006/main">
                  <a:graphicData uri="http://schemas.microsoft.com/office/word/2010/wordprocessingShape">
                    <wps:wsp>
                      <wps:cNvCnPr/>
                      <wps:spPr>
                        <a:xfrm rot="10800000" flipH="1">
                          <a:off x="0" y="0"/>
                          <a:ext cx="1711792" cy="45719"/>
                        </a:xfrm>
                        <a:prstGeom prst="straightConnector1">
                          <a:avLst/>
                        </a:prstGeom>
                        <a:noFill/>
                        <a:ln w="12700" cap="flat" cmpd="sng">
                          <a:solidFill>
                            <a:schemeClr val="dk1"/>
                          </a:solidFill>
                          <a:prstDash val="solid"/>
                          <a:miter lim="800000"/>
                          <a:headEnd type="triangle" w="med" len="med"/>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3B76B04B" id="Straight Arrow Connector 14" o:spid="_x0000_s1026" type="#_x0000_t32" style="position:absolute;margin-left:219.75pt;margin-top:86.7pt;width:134.8pt;height:3.6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" strokecolor="black [3200]" strokeweight="1pt">
                <v:stroke startarrow="block" endarrowwidth="narrow" endarrowlength="short" joinstyle="miter"/>
              </v:shape>
            </w:pict>
          </mc:Fallback>
        </mc:AlternateContent>
      </w:r>
      <w:r w:rsidRPr="00E47A0F">
        <w:rPr>
          <w:rFonts w:ascii="Times New Roman" w:hAnsi="Times New Roman" w:cs="Times New Roman"/>
          <w:noProof/>
          <w:sz w:val="24"/>
          <w:szCs w:val="24"/>
          <w:bdr w:val="single" w:sz="4" w:space="0" w:color="auto"/>
          <w:lang w:val="en-US"/>
        </w:rPr>
        <w:drawing>
          <wp:inline distT="0" distB="0" distL="0" distR="0" wp14:anchorId="12F13CF8" wp14:editId="4BBCBCC0">
            <wp:extent cx="4108299" cy="4108299"/>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9955" cy="4109955"/>
                    </a:xfrm>
                    <a:prstGeom prst="rect">
                      <a:avLst/>
                    </a:prstGeom>
                  </pic:spPr>
                </pic:pic>
              </a:graphicData>
            </a:graphic>
          </wp:inline>
        </w:drawing>
      </w:r>
    </w:p>
    <w:p w14:paraId="51CEC44A" w14:textId="77777777" w:rsidR="00D76D58" w:rsidRPr="00E47A0F" w:rsidRDefault="00D76D58" w:rsidP="008036F8">
      <w:pPr>
        <w:tabs>
          <w:tab w:val="left" w:pos="1390"/>
        </w:tabs>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 xml:space="preserve">From: </w:t>
      </w:r>
      <w:hyperlink r:id="rId9" w:history="1">
        <w:r w:rsidRPr="00E47A0F">
          <w:rPr>
            <w:rStyle w:val="Hyperlink"/>
            <w:rFonts w:ascii="Times New Roman" w:hAnsi="Times New Roman" w:cs="Times New Roman"/>
            <w:sz w:val="24"/>
            <w:szCs w:val="24"/>
          </w:rPr>
          <w:t>https://farzanagounder.com/framework/#</w:t>
        </w:r>
      </w:hyperlink>
    </w:p>
    <w:p w14:paraId="2CBF37EB" w14:textId="496BF651" w:rsidR="00F27427" w:rsidRPr="00E47A0F" w:rsidRDefault="00F27427" w:rsidP="008036F8">
      <w:pPr>
        <w:spacing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 xml:space="preserve">The establishment of </w:t>
      </w:r>
      <w:r w:rsidR="00293115" w:rsidRPr="00E47A0F">
        <w:rPr>
          <w:rFonts w:ascii="Times New Roman" w:hAnsi="Times New Roman" w:cs="Times New Roman"/>
          <w:i/>
          <w:sz w:val="24"/>
          <w:szCs w:val="24"/>
        </w:rPr>
        <w:t>causal</w:t>
      </w:r>
      <w:r w:rsidR="00293115" w:rsidRPr="00E47A0F">
        <w:rPr>
          <w:rFonts w:ascii="Times New Roman" w:hAnsi="Times New Roman" w:cs="Times New Roman"/>
          <w:sz w:val="24"/>
          <w:szCs w:val="24"/>
        </w:rPr>
        <w:t xml:space="preserve"> </w:t>
      </w:r>
      <w:r w:rsidR="00293115" w:rsidRPr="00E47A0F">
        <w:rPr>
          <w:rFonts w:ascii="Times New Roman" w:hAnsi="Times New Roman" w:cs="Times New Roman"/>
          <w:i/>
          <w:sz w:val="24"/>
          <w:szCs w:val="24"/>
        </w:rPr>
        <w:t xml:space="preserve">type, consequence type </w:t>
      </w:r>
      <w:r w:rsidR="00293115" w:rsidRPr="00E47A0F">
        <w:rPr>
          <w:rFonts w:ascii="Times New Roman" w:hAnsi="Times New Roman" w:cs="Times New Roman"/>
          <w:sz w:val="24"/>
          <w:szCs w:val="24"/>
        </w:rPr>
        <w:t xml:space="preserve">and </w:t>
      </w:r>
      <w:r w:rsidR="00293115" w:rsidRPr="00E47A0F">
        <w:rPr>
          <w:rFonts w:ascii="Times New Roman" w:hAnsi="Times New Roman" w:cs="Times New Roman"/>
          <w:i/>
          <w:sz w:val="24"/>
          <w:szCs w:val="24"/>
        </w:rPr>
        <w:t>response type</w:t>
      </w:r>
      <w:r w:rsidR="00293115" w:rsidRPr="00E47A0F">
        <w:rPr>
          <w:rFonts w:ascii="Times New Roman" w:hAnsi="Times New Roman" w:cs="Times New Roman"/>
          <w:sz w:val="24"/>
          <w:szCs w:val="24"/>
        </w:rPr>
        <w:t xml:space="preserve"> </w:t>
      </w:r>
      <w:r w:rsidRPr="00E47A0F">
        <w:rPr>
          <w:rFonts w:ascii="Times New Roman" w:hAnsi="Times New Roman" w:cs="Times New Roman"/>
          <w:sz w:val="24"/>
          <w:szCs w:val="24"/>
        </w:rPr>
        <w:t>codes, the clustering of</w:t>
      </w:r>
      <w:r w:rsidR="00376A65" w:rsidRPr="00E47A0F">
        <w:rPr>
          <w:rFonts w:ascii="Times New Roman" w:hAnsi="Times New Roman" w:cs="Times New Roman"/>
          <w:sz w:val="24"/>
          <w:szCs w:val="24"/>
        </w:rPr>
        <w:t xml:space="preserve"> </w:t>
      </w:r>
      <w:r w:rsidR="00376A65" w:rsidRPr="00E47A0F">
        <w:rPr>
          <w:rFonts w:ascii="Times New Roman" w:hAnsi="Times New Roman" w:cs="Times New Roman"/>
          <w:i/>
          <w:sz w:val="24"/>
          <w:szCs w:val="24"/>
        </w:rPr>
        <w:t>type</w:t>
      </w:r>
      <w:r w:rsidRPr="00E47A0F">
        <w:rPr>
          <w:rFonts w:ascii="Times New Roman" w:hAnsi="Times New Roman" w:cs="Times New Roman"/>
          <w:sz w:val="24"/>
          <w:szCs w:val="24"/>
        </w:rPr>
        <w:t xml:space="preserve"> codes into thematic categories</w:t>
      </w:r>
      <w:r w:rsidR="00376A65" w:rsidRPr="00E47A0F">
        <w:rPr>
          <w:rFonts w:ascii="Times New Roman" w:hAnsi="Times New Roman" w:cs="Times New Roman"/>
          <w:sz w:val="24"/>
          <w:szCs w:val="24"/>
        </w:rPr>
        <w:t xml:space="preserve"> of </w:t>
      </w:r>
      <w:r w:rsidR="00376A65" w:rsidRPr="00E47A0F">
        <w:rPr>
          <w:rFonts w:ascii="Times New Roman" w:hAnsi="Times New Roman" w:cs="Times New Roman"/>
          <w:i/>
          <w:sz w:val="24"/>
          <w:szCs w:val="24"/>
        </w:rPr>
        <w:t>expression</w:t>
      </w:r>
      <w:r w:rsidRPr="00E47A0F">
        <w:rPr>
          <w:rFonts w:ascii="Times New Roman" w:hAnsi="Times New Roman" w:cs="Times New Roman"/>
          <w:sz w:val="24"/>
          <w:szCs w:val="24"/>
        </w:rPr>
        <w:t xml:space="preserve"> and thematic levels</w:t>
      </w:r>
      <w:r w:rsidR="00376A65" w:rsidRPr="00E47A0F">
        <w:rPr>
          <w:rFonts w:ascii="Times New Roman" w:hAnsi="Times New Roman" w:cs="Times New Roman"/>
          <w:sz w:val="24"/>
          <w:szCs w:val="24"/>
        </w:rPr>
        <w:t xml:space="preserve"> of </w:t>
      </w:r>
      <w:r w:rsidR="00376A65" w:rsidRPr="00E47A0F">
        <w:rPr>
          <w:rFonts w:ascii="Times New Roman" w:hAnsi="Times New Roman" w:cs="Times New Roman"/>
          <w:i/>
          <w:sz w:val="24"/>
          <w:szCs w:val="24"/>
        </w:rPr>
        <w:t>context</w:t>
      </w:r>
      <w:r w:rsidRPr="00E47A0F">
        <w:rPr>
          <w:rFonts w:ascii="Times New Roman" w:hAnsi="Times New Roman" w:cs="Times New Roman"/>
          <w:sz w:val="24"/>
          <w:szCs w:val="24"/>
        </w:rPr>
        <w:t xml:space="preserve"> was conducted through reading and re-reading of the data set, a </w:t>
      </w:r>
      <w:r w:rsidRPr="00E47A0F">
        <w:rPr>
          <w:rFonts w:ascii="Times New Roman" w:hAnsi="Times New Roman" w:cs="Times New Roman"/>
          <w:noProof/>
          <w:sz w:val="24"/>
          <w:szCs w:val="24"/>
        </w:rPr>
        <w:t>reference</w:t>
      </w:r>
      <w:r w:rsidRPr="00E47A0F">
        <w:rPr>
          <w:rFonts w:ascii="Times New Roman" w:hAnsi="Times New Roman" w:cs="Times New Roman"/>
          <w:sz w:val="24"/>
          <w:szCs w:val="24"/>
        </w:rPr>
        <w:t xml:space="preserve"> to literature in the wider field of Indian indenture studies and consultation with historians in the field of Indian indenture studies.  The re-reading and re-evaluation of the data set at each of the three stages ensured a thorough consideration of all possible occurrences of </w:t>
      </w:r>
      <w:r w:rsidR="00376A65" w:rsidRPr="00E47A0F">
        <w:rPr>
          <w:rFonts w:ascii="Times New Roman" w:hAnsi="Times New Roman" w:cs="Times New Roman"/>
          <w:sz w:val="24"/>
          <w:szCs w:val="24"/>
        </w:rPr>
        <w:t>types, expressions and context</w:t>
      </w:r>
      <w:r w:rsidRPr="00E47A0F">
        <w:rPr>
          <w:rFonts w:ascii="Times New Roman" w:hAnsi="Times New Roman" w:cs="Times New Roman"/>
          <w:sz w:val="24"/>
          <w:szCs w:val="24"/>
        </w:rPr>
        <w:t>.</w:t>
      </w:r>
    </w:p>
    <w:p w14:paraId="72EB6994" w14:textId="77777777" w:rsidR="00EA7A09" w:rsidRPr="00E47A0F" w:rsidRDefault="00EA7A09" w:rsidP="008036F8">
      <w:pPr>
        <w:spacing w:line="360" w:lineRule="auto"/>
        <w:ind w:firstLine="360"/>
        <w:jc w:val="both"/>
        <w:rPr>
          <w:rFonts w:ascii="Times New Roman" w:hAnsi="Times New Roman" w:cs="Times New Roman"/>
          <w:sz w:val="24"/>
          <w:szCs w:val="24"/>
        </w:rPr>
      </w:pPr>
    </w:p>
    <w:p w14:paraId="165E31F6" w14:textId="0185BBA8" w:rsidR="00AD3CC7" w:rsidRPr="00E47A0F" w:rsidRDefault="00F36ECF" w:rsidP="008036F8">
      <w:pPr>
        <w:pStyle w:val="Heading1"/>
        <w:jc w:val="both"/>
        <w:rPr>
          <w:rFonts w:ascii="Times New Roman" w:hAnsi="Times New Roman" w:cs="Times New Roman"/>
        </w:rPr>
      </w:pPr>
      <w:r>
        <w:rPr>
          <w:rFonts w:ascii="Times New Roman" w:hAnsi="Times New Roman" w:cs="Times New Roman"/>
        </w:rPr>
        <w:t>Analytical framework</w:t>
      </w:r>
    </w:p>
    <w:p w14:paraId="39CFA1F0" w14:textId="77777777" w:rsidR="00AD3CC7" w:rsidRPr="00E47A0F" w:rsidRDefault="00AD3CC7" w:rsidP="008036F8">
      <w:p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 xml:space="preserve">The framework provides an </w:t>
      </w:r>
      <w:r w:rsidRPr="00E47A0F">
        <w:rPr>
          <w:rFonts w:ascii="Times New Roman" w:hAnsi="Times New Roman" w:cs="Times New Roman"/>
          <w:noProof/>
          <w:sz w:val="24"/>
          <w:szCs w:val="24"/>
        </w:rPr>
        <w:t>in-depth</w:t>
      </w:r>
      <w:r w:rsidRPr="00E47A0F">
        <w:rPr>
          <w:rFonts w:ascii="Times New Roman" w:hAnsi="Times New Roman" w:cs="Times New Roman"/>
          <w:sz w:val="24"/>
          <w:szCs w:val="24"/>
        </w:rPr>
        <w:t xml:space="preserve"> analysis of the social and material structures of the indenture system and how these factors created complex, inter-related and overlapping cause, effect and response relationships that manifested as plantation-based individuals’ adverse health outcomes. </w:t>
      </w:r>
    </w:p>
    <w:p w14:paraId="16D86C74" w14:textId="77777777" w:rsidR="00AD3CC7" w:rsidRPr="00E47A0F" w:rsidRDefault="00AD3CC7" w:rsidP="008036F8">
      <w:pPr>
        <w:spacing w:line="360" w:lineRule="auto"/>
        <w:ind w:firstLine="720"/>
        <w:jc w:val="both"/>
        <w:rPr>
          <w:rFonts w:ascii="Times New Roman" w:eastAsia="Calibri" w:hAnsi="Times New Roman" w:cs="Times New Roman"/>
          <w:sz w:val="24"/>
          <w:szCs w:val="24"/>
        </w:rPr>
      </w:pPr>
      <w:bookmarkStart w:id="10" w:name="_Hlk10207530"/>
      <w:r w:rsidRPr="00E47A0F">
        <w:rPr>
          <w:rFonts w:ascii="Times New Roman" w:eastAsia="Calibri" w:hAnsi="Times New Roman" w:cs="Times New Roman"/>
          <w:sz w:val="24"/>
          <w:szCs w:val="24"/>
        </w:rPr>
        <w:lastRenderedPageBreak/>
        <w:t xml:space="preserve">The strength of the typology particularly lies in its ability to analyse: </w:t>
      </w:r>
    </w:p>
    <w:p w14:paraId="7F4D286A" w14:textId="43AEB552" w:rsidR="00AD3CC7" w:rsidRPr="00E47A0F" w:rsidRDefault="00AD3CC7" w:rsidP="008036F8">
      <w:pPr>
        <w:spacing w:line="360" w:lineRule="auto"/>
        <w:ind w:firstLine="720"/>
        <w:jc w:val="both"/>
        <w:rPr>
          <w:rFonts w:ascii="Times New Roman" w:eastAsia="Calibri" w:hAnsi="Times New Roman" w:cs="Times New Roman"/>
          <w:sz w:val="24"/>
          <w:szCs w:val="24"/>
        </w:rPr>
      </w:pPr>
      <w:r w:rsidRPr="00E47A0F">
        <w:rPr>
          <w:rFonts w:ascii="Times New Roman" w:eastAsia="Calibri" w:hAnsi="Times New Roman" w:cs="Times New Roman"/>
          <w:sz w:val="24"/>
          <w:szCs w:val="24"/>
        </w:rPr>
        <w:t xml:space="preserve">(i) The </w:t>
      </w:r>
      <w:r w:rsidRPr="00E47A0F">
        <w:rPr>
          <w:rFonts w:ascii="Times New Roman" w:eastAsia="Calibri" w:hAnsi="Times New Roman" w:cs="Times New Roman"/>
          <w:b/>
          <w:sz w:val="24"/>
          <w:szCs w:val="24"/>
        </w:rPr>
        <w:t xml:space="preserve">causal pathways and </w:t>
      </w:r>
      <w:r w:rsidRPr="00E47A0F">
        <w:rPr>
          <w:rFonts w:ascii="Times New Roman" w:eastAsia="Calibri" w:hAnsi="Times New Roman" w:cs="Times New Roman"/>
          <w:b/>
          <w:noProof/>
          <w:sz w:val="24"/>
          <w:szCs w:val="24"/>
        </w:rPr>
        <w:t>agents</w:t>
      </w:r>
      <w:r w:rsidRPr="00E47A0F">
        <w:rPr>
          <w:rFonts w:ascii="Times New Roman" w:eastAsia="Calibri" w:hAnsi="Times New Roman" w:cs="Times New Roman"/>
          <w:sz w:val="24"/>
          <w:szCs w:val="24"/>
        </w:rPr>
        <w:t xml:space="preserve"> </w:t>
      </w:r>
      <w:r w:rsidRPr="00E47A0F">
        <w:rPr>
          <w:rFonts w:ascii="Times New Roman" w:eastAsia="Calibri" w:hAnsi="Times New Roman" w:cs="Times New Roman"/>
          <w:b/>
          <w:sz w:val="24"/>
          <w:szCs w:val="24"/>
        </w:rPr>
        <w:t xml:space="preserve">that </w:t>
      </w:r>
      <w:r w:rsidR="009F3288" w:rsidRPr="00E47A0F">
        <w:rPr>
          <w:rFonts w:ascii="Times New Roman" w:eastAsia="Calibri" w:hAnsi="Times New Roman" w:cs="Times New Roman"/>
          <w:b/>
          <w:sz w:val="24"/>
          <w:szCs w:val="24"/>
        </w:rPr>
        <w:t>determine resource access</w:t>
      </w:r>
      <w:r w:rsidR="009F3288" w:rsidRPr="00E47A0F">
        <w:rPr>
          <w:rFonts w:ascii="Times New Roman" w:eastAsia="Calibri" w:hAnsi="Times New Roman" w:cs="Times New Roman"/>
          <w:sz w:val="24"/>
          <w:szCs w:val="24"/>
        </w:rPr>
        <w:t xml:space="preserve"> and resultant</w:t>
      </w:r>
      <w:r w:rsidRPr="00E47A0F">
        <w:rPr>
          <w:rFonts w:ascii="Times New Roman" w:eastAsia="Calibri" w:hAnsi="Times New Roman" w:cs="Times New Roman"/>
          <w:sz w:val="24"/>
          <w:szCs w:val="24"/>
        </w:rPr>
        <w:t xml:space="preserve"> health </w:t>
      </w:r>
      <w:r w:rsidR="009F3288" w:rsidRPr="00E47A0F">
        <w:rPr>
          <w:rFonts w:ascii="Times New Roman" w:eastAsia="Calibri" w:hAnsi="Times New Roman" w:cs="Times New Roman"/>
          <w:sz w:val="24"/>
          <w:szCs w:val="24"/>
        </w:rPr>
        <w:t>outcomes</w:t>
      </w:r>
      <w:r w:rsidRPr="00E47A0F">
        <w:rPr>
          <w:rFonts w:ascii="Times New Roman" w:eastAsia="Calibri" w:hAnsi="Times New Roman" w:cs="Times New Roman"/>
          <w:sz w:val="24"/>
          <w:szCs w:val="24"/>
        </w:rPr>
        <w:t xml:space="preserve"> of those living on the indenture plantations.  </w:t>
      </w:r>
      <w:r w:rsidRPr="00E47A0F">
        <w:rPr>
          <w:rFonts w:ascii="Times New Roman" w:hAnsi="Times New Roman" w:cs="Times New Roman"/>
          <w:sz w:val="24"/>
          <w:szCs w:val="24"/>
        </w:rPr>
        <w:t xml:space="preserve">We draw on ecological theories of health, in particular, Krieger’s </w:t>
      </w:r>
      <w:r w:rsidR="006F4913" w:rsidRPr="00E47A0F">
        <w:rPr>
          <w:rFonts w:ascii="Times New Roman" w:hAnsi="Times New Roman" w:cs="Times New Roman"/>
          <w:sz w:val="24"/>
          <w:szCs w:val="24"/>
        </w:rPr>
        <w:t xml:space="preserve">(2001) </w:t>
      </w:r>
      <w:r w:rsidRPr="00E47A0F">
        <w:rPr>
          <w:rFonts w:ascii="Times New Roman" w:hAnsi="Times New Roman" w:cs="Times New Roman"/>
          <w:sz w:val="24"/>
          <w:szCs w:val="24"/>
        </w:rPr>
        <w:t xml:space="preserve">ecosocial theory to develop a measurement system of causal factors behind the experiences of inequality. </w:t>
      </w:r>
      <w:r w:rsidRPr="00E47A0F">
        <w:rPr>
          <w:rFonts w:ascii="Times New Roman" w:eastAsia="Calibri" w:hAnsi="Times New Roman" w:cs="Times New Roman"/>
          <w:sz w:val="24"/>
          <w:szCs w:val="24"/>
        </w:rPr>
        <w:t xml:space="preserve"> </w:t>
      </w:r>
    </w:p>
    <w:p w14:paraId="3B6BFB19" w14:textId="77777777" w:rsidR="00AD3CC7" w:rsidRPr="00E47A0F" w:rsidRDefault="00AD3CC7" w:rsidP="008036F8">
      <w:pPr>
        <w:spacing w:line="360" w:lineRule="auto"/>
        <w:ind w:firstLine="720"/>
        <w:jc w:val="both"/>
        <w:rPr>
          <w:rFonts w:ascii="Times New Roman" w:eastAsia="Calibri" w:hAnsi="Times New Roman" w:cs="Times New Roman"/>
          <w:sz w:val="24"/>
          <w:szCs w:val="24"/>
        </w:rPr>
      </w:pPr>
      <w:r w:rsidRPr="00E47A0F">
        <w:rPr>
          <w:rFonts w:ascii="Times New Roman" w:eastAsia="Calibri" w:hAnsi="Times New Roman" w:cs="Times New Roman"/>
          <w:sz w:val="24"/>
          <w:szCs w:val="24"/>
        </w:rPr>
        <w:t xml:space="preserve">(ii) </w:t>
      </w:r>
      <w:r w:rsidRPr="00E47A0F">
        <w:rPr>
          <w:rFonts w:ascii="Times New Roman" w:hAnsi="Times New Roman" w:cs="Times New Roman"/>
          <w:sz w:val="24"/>
          <w:szCs w:val="24"/>
        </w:rPr>
        <w:t>We also believe that it is important to not only have a systematic measurement of causality but also the consequences of health inequ</w:t>
      </w:r>
      <w:r w:rsidRPr="00E47A0F">
        <w:rPr>
          <w:rStyle w:val="normaltextrun"/>
          <w:rFonts w:ascii="Times New Roman" w:hAnsi="Times New Roman" w:cs="Times New Roman"/>
          <w:color w:val="000000"/>
          <w:sz w:val="24"/>
          <w:szCs w:val="24"/>
          <w:shd w:val="clear" w:color="auto" w:fill="FFFFFF"/>
        </w:rPr>
        <w:t>al</w:t>
      </w:r>
      <w:r w:rsidRPr="00E47A0F">
        <w:rPr>
          <w:rFonts w:ascii="Times New Roman" w:hAnsi="Times New Roman" w:cs="Times New Roman"/>
          <w:sz w:val="24"/>
          <w:szCs w:val="24"/>
        </w:rPr>
        <w:t xml:space="preserve">ities.  Thus, </w:t>
      </w:r>
      <w:r w:rsidRPr="00E47A0F">
        <w:rPr>
          <w:rFonts w:ascii="Times New Roman" w:eastAsia="Calibri" w:hAnsi="Times New Roman" w:cs="Times New Roman"/>
          <w:sz w:val="24"/>
          <w:szCs w:val="24"/>
        </w:rPr>
        <w:t xml:space="preserve">the framework provides </w:t>
      </w:r>
      <w:r w:rsidR="00447D0F" w:rsidRPr="00E47A0F">
        <w:rPr>
          <w:rFonts w:ascii="Times New Roman" w:eastAsia="Calibri" w:hAnsi="Times New Roman" w:cs="Times New Roman"/>
          <w:sz w:val="24"/>
          <w:szCs w:val="24"/>
        </w:rPr>
        <w:t xml:space="preserve">the tools for </w:t>
      </w:r>
      <w:r w:rsidRPr="00E47A0F">
        <w:rPr>
          <w:rFonts w:ascii="Times New Roman" w:eastAsia="Calibri" w:hAnsi="Times New Roman" w:cs="Times New Roman"/>
          <w:sz w:val="24"/>
          <w:szCs w:val="24"/>
        </w:rPr>
        <w:t xml:space="preserve">an </w:t>
      </w:r>
      <w:r w:rsidRPr="00E47A0F">
        <w:rPr>
          <w:rFonts w:ascii="Times New Roman" w:eastAsia="Calibri" w:hAnsi="Times New Roman" w:cs="Times New Roman"/>
          <w:noProof/>
          <w:sz w:val="24"/>
          <w:szCs w:val="24"/>
        </w:rPr>
        <w:t>in-depth</w:t>
      </w:r>
      <w:r w:rsidRPr="00E47A0F">
        <w:rPr>
          <w:rFonts w:ascii="Times New Roman" w:eastAsia="Calibri" w:hAnsi="Times New Roman" w:cs="Times New Roman"/>
          <w:sz w:val="24"/>
          <w:szCs w:val="24"/>
        </w:rPr>
        <w:t xml:space="preserve"> analysis of the expressions of these inequ</w:t>
      </w:r>
      <w:r w:rsidRPr="00E47A0F">
        <w:rPr>
          <w:rStyle w:val="normaltextrun"/>
          <w:rFonts w:ascii="Times New Roman" w:hAnsi="Times New Roman" w:cs="Times New Roman"/>
          <w:color w:val="000000"/>
          <w:sz w:val="24"/>
          <w:szCs w:val="24"/>
          <w:shd w:val="clear" w:color="auto" w:fill="FFFFFF"/>
        </w:rPr>
        <w:t>al</w:t>
      </w:r>
      <w:r w:rsidRPr="00E47A0F">
        <w:rPr>
          <w:rFonts w:ascii="Times New Roman" w:eastAsia="Calibri" w:hAnsi="Times New Roman" w:cs="Times New Roman"/>
          <w:sz w:val="24"/>
          <w:szCs w:val="24"/>
        </w:rPr>
        <w:t xml:space="preserve">ities in the plantation-based individuals’ </w:t>
      </w:r>
      <w:r w:rsidRPr="00E47A0F">
        <w:rPr>
          <w:rFonts w:ascii="Times New Roman" w:eastAsia="Calibri" w:hAnsi="Times New Roman" w:cs="Times New Roman"/>
          <w:b/>
          <w:sz w:val="24"/>
          <w:szCs w:val="24"/>
        </w:rPr>
        <w:t>health outcomes</w:t>
      </w:r>
      <w:r w:rsidRPr="00E47A0F">
        <w:rPr>
          <w:rFonts w:ascii="Times New Roman" w:eastAsia="Calibri" w:hAnsi="Times New Roman" w:cs="Times New Roman"/>
          <w:sz w:val="24"/>
          <w:szCs w:val="24"/>
        </w:rPr>
        <w:t xml:space="preserve">.  </w:t>
      </w:r>
    </w:p>
    <w:p w14:paraId="519AB2E7" w14:textId="77777777" w:rsidR="00AD3CC7" w:rsidRPr="00E47A0F" w:rsidRDefault="00AD3CC7" w:rsidP="008036F8">
      <w:pPr>
        <w:spacing w:line="360" w:lineRule="auto"/>
        <w:ind w:firstLine="720"/>
        <w:jc w:val="both"/>
        <w:rPr>
          <w:rFonts w:ascii="Times New Roman" w:eastAsia="Calibri" w:hAnsi="Times New Roman" w:cs="Times New Roman"/>
          <w:sz w:val="24"/>
          <w:szCs w:val="24"/>
        </w:rPr>
      </w:pPr>
      <w:r w:rsidRPr="00E47A0F">
        <w:rPr>
          <w:rFonts w:ascii="Times New Roman" w:eastAsia="Calibri" w:hAnsi="Times New Roman" w:cs="Times New Roman"/>
          <w:sz w:val="24"/>
          <w:szCs w:val="24"/>
        </w:rPr>
        <w:t xml:space="preserve"> (iii) Another important contribution of the framework is the analysis of </w:t>
      </w:r>
      <w:r w:rsidRPr="00E47A0F">
        <w:rPr>
          <w:rFonts w:ascii="Times New Roman" w:eastAsia="Calibri" w:hAnsi="Times New Roman" w:cs="Times New Roman"/>
          <w:b/>
          <w:sz w:val="24"/>
          <w:szCs w:val="24"/>
        </w:rPr>
        <w:t xml:space="preserve">individuals’ responses </w:t>
      </w:r>
      <w:r w:rsidRPr="00E47A0F">
        <w:rPr>
          <w:rFonts w:ascii="Times New Roman" w:eastAsia="Calibri" w:hAnsi="Times New Roman" w:cs="Times New Roman"/>
          <w:sz w:val="24"/>
          <w:szCs w:val="24"/>
        </w:rPr>
        <w:t>to inequitable acts and processes</w:t>
      </w:r>
      <w:r w:rsidR="009F3288" w:rsidRPr="00E47A0F">
        <w:rPr>
          <w:rFonts w:ascii="Times New Roman" w:eastAsia="Calibri" w:hAnsi="Times New Roman" w:cs="Times New Roman"/>
          <w:sz w:val="24"/>
          <w:szCs w:val="24"/>
        </w:rPr>
        <w:t xml:space="preserve"> </w:t>
      </w:r>
      <w:r w:rsidR="009418F8" w:rsidRPr="00E47A0F">
        <w:rPr>
          <w:rFonts w:ascii="Times New Roman" w:eastAsia="Calibri" w:hAnsi="Times New Roman" w:cs="Times New Roman"/>
          <w:sz w:val="24"/>
          <w:szCs w:val="24"/>
        </w:rPr>
        <w:t>through</w:t>
      </w:r>
      <w:r w:rsidR="009F3288" w:rsidRPr="00E47A0F">
        <w:rPr>
          <w:rFonts w:ascii="Times New Roman" w:eastAsia="Calibri" w:hAnsi="Times New Roman" w:cs="Times New Roman"/>
          <w:sz w:val="24"/>
          <w:szCs w:val="24"/>
        </w:rPr>
        <w:t xml:space="preserve"> the strategies that they mobilized</w:t>
      </w:r>
      <w:r w:rsidRPr="00E47A0F">
        <w:rPr>
          <w:rFonts w:ascii="Times New Roman" w:eastAsia="Calibri" w:hAnsi="Times New Roman" w:cs="Times New Roman"/>
          <w:sz w:val="24"/>
          <w:szCs w:val="24"/>
        </w:rPr>
        <w:t>, which</w:t>
      </w:r>
      <w:r w:rsidR="009F3288" w:rsidRPr="00E47A0F">
        <w:rPr>
          <w:rFonts w:ascii="Times New Roman" w:eastAsia="Calibri" w:hAnsi="Times New Roman" w:cs="Times New Roman"/>
          <w:sz w:val="24"/>
          <w:szCs w:val="24"/>
        </w:rPr>
        <w:t>,</w:t>
      </w:r>
      <w:r w:rsidRPr="00E47A0F">
        <w:rPr>
          <w:rFonts w:ascii="Times New Roman" w:eastAsia="Calibri" w:hAnsi="Times New Roman" w:cs="Times New Roman"/>
          <w:sz w:val="24"/>
          <w:szCs w:val="24"/>
        </w:rPr>
        <w:t xml:space="preserve"> in turn, </w:t>
      </w:r>
      <w:r w:rsidR="009F3288" w:rsidRPr="00E47A0F">
        <w:rPr>
          <w:rFonts w:ascii="Times New Roman" w:eastAsia="Calibri" w:hAnsi="Times New Roman" w:cs="Times New Roman"/>
          <w:sz w:val="24"/>
          <w:szCs w:val="24"/>
        </w:rPr>
        <w:t>could possibly have</w:t>
      </w:r>
      <w:r w:rsidRPr="00E47A0F">
        <w:rPr>
          <w:rFonts w:ascii="Times New Roman" w:eastAsia="Calibri" w:hAnsi="Times New Roman" w:cs="Times New Roman"/>
          <w:sz w:val="24"/>
          <w:szCs w:val="24"/>
        </w:rPr>
        <w:t xml:space="preserve"> further consequences for the individuals’ health outcomes.  </w:t>
      </w:r>
    </w:p>
    <w:p w14:paraId="4870BDE2" w14:textId="77777777" w:rsidR="00AD3CC7" w:rsidRPr="00E47A0F" w:rsidRDefault="00AD3CC7" w:rsidP="008036F8">
      <w:pPr>
        <w:spacing w:line="360" w:lineRule="auto"/>
        <w:ind w:firstLine="720"/>
        <w:jc w:val="both"/>
        <w:rPr>
          <w:rFonts w:ascii="Times New Roman" w:hAnsi="Times New Roman" w:cs="Times New Roman"/>
          <w:sz w:val="24"/>
          <w:szCs w:val="24"/>
        </w:rPr>
      </w:pPr>
      <w:r w:rsidRPr="00E47A0F">
        <w:rPr>
          <w:rFonts w:ascii="Times New Roman" w:eastAsia="Calibri" w:hAnsi="Times New Roman" w:cs="Times New Roman"/>
          <w:sz w:val="24"/>
          <w:szCs w:val="24"/>
        </w:rPr>
        <w:t>(iv) F</w:t>
      </w:r>
      <w:r w:rsidRPr="00E47A0F">
        <w:rPr>
          <w:rFonts w:ascii="Times New Roman" w:hAnsi="Times New Roman" w:cs="Times New Roman"/>
          <w:sz w:val="24"/>
          <w:szCs w:val="24"/>
        </w:rPr>
        <w:t xml:space="preserve">urthermore, we believe that </w:t>
      </w:r>
      <w:r w:rsidRPr="00E47A0F">
        <w:rPr>
          <w:rFonts w:ascii="Times New Roman" w:hAnsi="Times New Roman" w:cs="Times New Roman"/>
          <w:b/>
          <w:sz w:val="24"/>
          <w:szCs w:val="24"/>
        </w:rPr>
        <w:t>consequences and responses need to be mapped not only for receivers of inequ</w:t>
      </w:r>
      <w:r w:rsidRPr="00E47A0F">
        <w:rPr>
          <w:rStyle w:val="normaltextrun"/>
          <w:rFonts w:ascii="Times New Roman" w:hAnsi="Times New Roman" w:cs="Times New Roman"/>
          <w:b/>
          <w:color w:val="000000"/>
          <w:sz w:val="24"/>
          <w:szCs w:val="24"/>
          <w:shd w:val="clear" w:color="auto" w:fill="FFFFFF"/>
        </w:rPr>
        <w:t>al</w:t>
      </w:r>
      <w:r w:rsidRPr="00E47A0F">
        <w:rPr>
          <w:rFonts w:ascii="Times New Roman" w:hAnsi="Times New Roman" w:cs="Times New Roman"/>
          <w:b/>
          <w:sz w:val="24"/>
          <w:szCs w:val="24"/>
        </w:rPr>
        <w:t>ities but also for the agents behind acts of inequality</w:t>
      </w:r>
      <w:r w:rsidRPr="00E47A0F">
        <w:rPr>
          <w:rFonts w:ascii="Times New Roman" w:hAnsi="Times New Roman" w:cs="Times New Roman"/>
          <w:sz w:val="24"/>
          <w:szCs w:val="24"/>
        </w:rPr>
        <w:t xml:space="preserve">, thus providing an indepth analysis of the complex web of social influences within which the plantation-based individuals were located.  This comprehensive mapping is important to consider in relation to social position, power distribution and resource allocation, as shown below.  </w:t>
      </w:r>
    </w:p>
    <w:bookmarkEnd w:id="10"/>
    <w:p w14:paraId="45C5FC45" w14:textId="737D0145" w:rsidR="00AD3CC7" w:rsidRPr="00E47A0F" w:rsidRDefault="00D5687E" w:rsidP="008036F8">
      <w:pPr>
        <w:pStyle w:val="Heading1"/>
        <w:spacing w:line="360" w:lineRule="auto"/>
        <w:jc w:val="both"/>
        <w:rPr>
          <w:rFonts w:ascii="Times New Roman" w:hAnsi="Times New Roman" w:cs="Times New Roman"/>
          <w:sz w:val="24"/>
          <w:szCs w:val="24"/>
        </w:rPr>
      </w:pPr>
      <w:r>
        <w:rPr>
          <w:rFonts w:ascii="Times New Roman" w:hAnsi="Times New Roman" w:cs="Times New Roman"/>
          <w:sz w:val="24"/>
          <w:szCs w:val="24"/>
        </w:rPr>
        <w:t>Analysis</w:t>
      </w:r>
      <w:r w:rsidR="00AD3CC7" w:rsidRPr="00E47A0F">
        <w:rPr>
          <w:rFonts w:ascii="Times New Roman" w:hAnsi="Times New Roman" w:cs="Times New Roman"/>
          <w:sz w:val="24"/>
          <w:szCs w:val="24"/>
        </w:rPr>
        <w:t xml:space="preserve"> of causal </w:t>
      </w:r>
      <w:r w:rsidRPr="00E47A0F">
        <w:rPr>
          <w:rFonts w:ascii="Times New Roman" w:hAnsi="Times New Roman" w:cs="Times New Roman"/>
          <w:sz w:val="24"/>
          <w:szCs w:val="24"/>
        </w:rPr>
        <w:t>factor</w:t>
      </w:r>
      <w:r>
        <w:rPr>
          <w:rFonts w:ascii="Times New Roman" w:hAnsi="Times New Roman" w:cs="Times New Roman"/>
          <w:sz w:val="24"/>
          <w:szCs w:val="24"/>
        </w:rPr>
        <w:t>s of</w:t>
      </w:r>
      <w:r w:rsidRPr="00E47A0F">
        <w:rPr>
          <w:rFonts w:ascii="Times New Roman" w:hAnsi="Times New Roman" w:cs="Times New Roman"/>
          <w:sz w:val="24"/>
          <w:szCs w:val="24"/>
        </w:rPr>
        <w:t xml:space="preserve"> </w:t>
      </w:r>
      <w:r w:rsidR="00AD3CC7" w:rsidRPr="00E47A0F">
        <w:rPr>
          <w:rFonts w:ascii="Times New Roman" w:hAnsi="Times New Roman" w:cs="Times New Roman"/>
          <w:sz w:val="24"/>
          <w:szCs w:val="24"/>
        </w:rPr>
        <w:t xml:space="preserve">inequality </w:t>
      </w:r>
    </w:p>
    <w:p w14:paraId="69F56DE4" w14:textId="07A344F5" w:rsidR="00AD3CC7" w:rsidRDefault="00AD3CC7" w:rsidP="008036F8">
      <w:p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t xml:space="preserve">The causal factors behind </w:t>
      </w:r>
      <w:r w:rsidR="00821B5E" w:rsidRPr="00E47A0F">
        <w:rPr>
          <w:rFonts w:ascii="Times New Roman" w:hAnsi="Times New Roman" w:cs="Times New Roman"/>
          <w:sz w:val="24"/>
          <w:szCs w:val="24"/>
        </w:rPr>
        <w:t>resource (in)access</w:t>
      </w:r>
      <w:r w:rsidRPr="00E47A0F">
        <w:rPr>
          <w:rFonts w:ascii="Times New Roman" w:hAnsi="Times New Roman" w:cs="Times New Roman"/>
          <w:sz w:val="24"/>
          <w:szCs w:val="24"/>
        </w:rPr>
        <w:t xml:space="preserve"> may be measured along the following aspects:</w:t>
      </w:r>
    </w:p>
    <w:p w14:paraId="1D990CCD" w14:textId="5BA2299A" w:rsidR="00A56C8F" w:rsidRPr="00A56C8F" w:rsidRDefault="00A56C8F" w:rsidP="008036F8">
      <w:pPr>
        <w:spacing w:line="360" w:lineRule="auto"/>
        <w:jc w:val="both"/>
        <w:rPr>
          <w:rFonts w:ascii="Times New Roman" w:hAnsi="Times New Roman" w:cs="Times New Roman"/>
          <w:sz w:val="24"/>
          <w:szCs w:val="24"/>
        </w:rPr>
      </w:pPr>
      <w:r w:rsidRPr="00A56C8F">
        <w:rPr>
          <w:rFonts w:ascii="Times New Roman" w:hAnsi="Times New Roman" w:cs="Times New Roman"/>
          <w:b/>
          <w:sz w:val="24"/>
          <w:szCs w:val="24"/>
          <w:lang w:val="en-US" w:eastAsia="en-NZ"/>
        </w:rPr>
        <w:t>Table 1: Analysing causal pathways of inequity through the CARE framework</w:t>
      </w:r>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7375"/>
      </w:tblGrid>
      <w:tr w:rsidR="00A56C8F" w:rsidRPr="00A56C8F" w14:paraId="6D2C9283" w14:textId="77777777" w:rsidTr="00D5687E">
        <w:trPr>
          <w:jc w:val="center"/>
        </w:trPr>
        <w:tc>
          <w:tcPr>
            <w:tcW w:w="873" w:type="pct"/>
            <w:tcBorders>
              <w:bottom w:val="single" w:sz="4" w:space="0" w:color="7F7F7F"/>
            </w:tcBorders>
            <w:shd w:val="clear" w:color="auto" w:fill="auto"/>
            <w:hideMark/>
          </w:tcPr>
          <w:p w14:paraId="2F13EBD5"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sz w:val="24"/>
                <w:szCs w:val="24"/>
                <w:lang w:val="en-GB" w:eastAsia="en-NZ"/>
              </w:rPr>
              <w:t>Analytical</w:t>
            </w:r>
          </w:p>
          <w:p w14:paraId="2A4B2472"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sz w:val="24"/>
                <w:szCs w:val="24"/>
                <w:lang w:val="en-GB" w:eastAsia="en-NZ"/>
              </w:rPr>
              <w:t>categories</w:t>
            </w:r>
          </w:p>
        </w:tc>
        <w:tc>
          <w:tcPr>
            <w:tcW w:w="4127" w:type="pct"/>
            <w:tcBorders>
              <w:bottom w:val="single" w:sz="4" w:space="0" w:color="7F7F7F"/>
            </w:tcBorders>
            <w:shd w:val="clear" w:color="auto" w:fill="auto"/>
            <w:hideMark/>
          </w:tcPr>
          <w:p w14:paraId="1FC1E9A1"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sz w:val="24"/>
                <w:szCs w:val="24"/>
                <w:lang w:val="en-US" w:eastAsia="en-NZ"/>
              </w:rPr>
              <w:t>Definition of terms in relation to causal factors of inequity</w:t>
            </w:r>
            <w:r w:rsidRPr="00A56C8F">
              <w:rPr>
                <w:rFonts w:ascii="Times New Roman" w:eastAsia="Times New Roman" w:hAnsi="Times New Roman" w:cs="Times New Roman"/>
                <w:b/>
                <w:bCs/>
                <w:sz w:val="24"/>
                <w:szCs w:val="24"/>
                <w:lang w:val="en-GB" w:eastAsia="en-NZ"/>
              </w:rPr>
              <w:t> </w:t>
            </w:r>
          </w:p>
        </w:tc>
      </w:tr>
      <w:tr w:rsidR="00A56C8F" w:rsidRPr="00A56C8F" w14:paraId="4CA28236" w14:textId="77777777" w:rsidTr="00D5687E">
        <w:trPr>
          <w:jc w:val="center"/>
        </w:trPr>
        <w:tc>
          <w:tcPr>
            <w:tcW w:w="873" w:type="pct"/>
            <w:tcBorders>
              <w:top w:val="single" w:sz="4" w:space="0" w:color="7F7F7F"/>
              <w:bottom w:val="single" w:sz="4" w:space="0" w:color="7F7F7F"/>
            </w:tcBorders>
            <w:shd w:val="clear" w:color="auto" w:fill="auto"/>
            <w:hideMark/>
          </w:tcPr>
          <w:p w14:paraId="61FDA14D"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i/>
                <w:iCs/>
                <w:sz w:val="24"/>
                <w:szCs w:val="24"/>
                <w:lang w:val="en-US" w:eastAsia="en-NZ"/>
              </w:rPr>
            </w:pPr>
            <w:r w:rsidRPr="00A56C8F">
              <w:rPr>
                <w:rFonts w:ascii="Times New Roman" w:eastAsia="Times New Roman" w:hAnsi="Times New Roman" w:cs="Times New Roman"/>
                <w:b/>
                <w:bCs/>
                <w:i/>
                <w:iCs/>
                <w:sz w:val="24"/>
                <w:szCs w:val="24"/>
                <w:lang w:val="en-US" w:eastAsia="en-NZ"/>
              </w:rPr>
              <w:t>Agency </w:t>
            </w:r>
          </w:p>
          <w:p w14:paraId="5A21EE99"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i/>
                <w:iCs/>
                <w:sz w:val="24"/>
                <w:szCs w:val="24"/>
                <w:lang w:val="en-US" w:eastAsia="en-NZ"/>
              </w:rPr>
              <w:t>attribution</w:t>
            </w:r>
            <w:r w:rsidRPr="00A56C8F">
              <w:rPr>
                <w:rFonts w:ascii="Times New Roman" w:eastAsia="Times New Roman" w:hAnsi="Times New Roman" w:cs="Times New Roman"/>
                <w:b/>
                <w:bCs/>
                <w:sz w:val="24"/>
                <w:szCs w:val="24"/>
                <w:lang w:val="en-GB" w:eastAsia="en-NZ"/>
              </w:rPr>
              <w:t> </w:t>
            </w:r>
          </w:p>
        </w:tc>
        <w:tc>
          <w:tcPr>
            <w:tcW w:w="4127" w:type="pct"/>
            <w:tcBorders>
              <w:top w:val="single" w:sz="4" w:space="0" w:color="7F7F7F"/>
              <w:bottom w:val="single" w:sz="4" w:space="0" w:color="7F7F7F"/>
            </w:tcBorders>
            <w:shd w:val="clear" w:color="auto" w:fill="auto"/>
            <w:hideMark/>
          </w:tcPr>
          <w:p w14:paraId="62CB4570" w14:textId="77777777" w:rsidR="00A56C8F" w:rsidRPr="00A56C8F" w:rsidRDefault="00A56C8F" w:rsidP="008036F8">
            <w:pPr>
              <w:widowControl w:val="0"/>
              <w:spacing w:after="0" w:line="240" w:lineRule="auto"/>
              <w:contextualSpacing/>
              <w:jc w:val="both"/>
              <w:rPr>
                <w:rFonts w:ascii="Times New Roman" w:eastAsia="Georgia" w:hAnsi="Times New Roman" w:cs="Times New Roman"/>
                <w:sz w:val="24"/>
                <w:szCs w:val="24"/>
                <w:lang w:val="en-GB"/>
              </w:rPr>
            </w:pPr>
            <w:r w:rsidRPr="00A56C8F">
              <w:rPr>
                <w:rFonts w:ascii="Times New Roman" w:eastAsia="Times New Roman" w:hAnsi="Times New Roman" w:cs="Times New Roman"/>
                <w:sz w:val="24"/>
                <w:szCs w:val="24"/>
                <w:lang w:val="en-US" w:eastAsia="en-NZ"/>
              </w:rPr>
              <w:t>The agent directly associated with the act of inequ</w:t>
            </w:r>
            <w:r w:rsidRPr="00A56C8F">
              <w:rPr>
                <w:rFonts w:ascii="Times New Roman" w:eastAsia="Times New Roman" w:hAnsi="Times New Roman" w:cs="Times New Roman"/>
                <w:color w:val="000000"/>
                <w:sz w:val="24"/>
                <w:szCs w:val="24"/>
                <w:shd w:val="clear" w:color="auto" w:fill="FFFFFF"/>
                <w:lang w:val="en-US" w:eastAsia="en-NZ"/>
              </w:rPr>
              <w:t>al</w:t>
            </w:r>
            <w:r w:rsidRPr="00A56C8F">
              <w:rPr>
                <w:rFonts w:ascii="Times New Roman" w:eastAsia="Times New Roman" w:hAnsi="Times New Roman" w:cs="Times New Roman"/>
                <w:sz w:val="24"/>
                <w:szCs w:val="24"/>
                <w:lang w:val="en-US" w:eastAsia="en-NZ"/>
              </w:rPr>
              <w:t xml:space="preserve">ity. </w:t>
            </w:r>
            <w:r w:rsidRPr="00A56C8F">
              <w:rPr>
                <w:rFonts w:ascii="Times New Roman" w:eastAsia="Calibri" w:hAnsi="Times New Roman" w:cs="Times New Roman"/>
                <w:sz w:val="24"/>
                <w:szCs w:val="24"/>
                <w:lang w:val="en-GB"/>
              </w:rPr>
              <w:t>For instance</w:t>
            </w:r>
            <w:r w:rsidRPr="00A56C8F">
              <w:rPr>
                <w:rFonts w:ascii="Times New Roman" w:eastAsia="Georgia" w:hAnsi="Times New Roman" w:cs="Times New Roman"/>
                <w:sz w:val="24"/>
                <w:szCs w:val="24"/>
                <w:lang w:val="en-GB"/>
              </w:rPr>
              <w:t xml:space="preserve">: </w:t>
            </w:r>
          </w:p>
          <w:p w14:paraId="2B33BC12" w14:textId="77777777" w:rsidR="00A56C8F" w:rsidRPr="00A56C8F" w:rsidRDefault="00A56C8F" w:rsidP="008036F8">
            <w:pPr>
              <w:widowControl w:val="0"/>
              <w:numPr>
                <w:ilvl w:val="0"/>
                <w:numId w:val="3"/>
              </w:numPr>
              <w:spacing w:after="0" w:line="240" w:lineRule="auto"/>
              <w:ind w:left="600" w:hanging="425"/>
              <w:contextualSpacing/>
              <w:jc w:val="both"/>
              <w:rPr>
                <w:rFonts w:ascii="Times New Roman" w:eastAsia="Georgia" w:hAnsi="Times New Roman" w:cs="Times New Roman"/>
                <w:sz w:val="24"/>
                <w:szCs w:val="24"/>
                <w:lang w:val="en-AU" w:eastAsia="en-AU"/>
              </w:rPr>
            </w:pPr>
            <w:r w:rsidRPr="00A56C8F">
              <w:rPr>
                <w:rFonts w:ascii="Times New Roman" w:eastAsia="Georgia" w:hAnsi="Times New Roman" w:cs="Times New Roman"/>
                <w:sz w:val="24"/>
                <w:szCs w:val="24"/>
                <w:lang w:val="en-AU" w:eastAsia="en-AU"/>
              </w:rPr>
              <w:t xml:space="preserve">institutions (such as, government, judiciary), </w:t>
            </w:r>
          </w:p>
          <w:p w14:paraId="7AC2C4F8" w14:textId="77777777" w:rsidR="00A56C8F" w:rsidRPr="00A56C8F" w:rsidRDefault="00A56C8F" w:rsidP="008036F8">
            <w:pPr>
              <w:widowControl w:val="0"/>
              <w:numPr>
                <w:ilvl w:val="0"/>
                <w:numId w:val="3"/>
              </w:numPr>
              <w:spacing w:after="0" w:line="240" w:lineRule="auto"/>
              <w:ind w:left="600" w:hanging="425"/>
              <w:contextualSpacing/>
              <w:jc w:val="both"/>
              <w:rPr>
                <w:rFonts w:ascii="Times New Roman" w:eastAsia="Georgia" w:hAnsi="Times New Roman" w:cs="Times New Roman"/>
                <w:sz w:val="24"/>
                <w:szCs w:val="24"/>
                <w:lang w:val="en-AU" w:eastAsia="en-AU"/>
              </w:rPr>
            </w:pPr>
            <w:r w:rsidRPr="00A56C8F">
              <w:rPr>
                <w:rFonts w:ascii="Times New Roman" w:eastAsia="Georgia" w:hAnsi="Times New Roman" w:cs="Times New Roman"/>
                <w:sz w:val="24"/>
                <w:szCs w:val="24"/>
                <w:lang w:val="en-AU" w:eastAsia="en-AU"/>
              </w:rPr>
              <w:t xml:space="preserve">or individuals: </w:t>
            </w:r>
          </w:p>
          <w:p w14:paraId="1D0B5468" w14:textId="77777777" w:rsidR="00A56C8F" w:rsidRPr="00A56C8F" w:rsidRDefault="00A56C8F" w:rsidP="008036F8">
            <w:pPr>
              <w:widowControl w:val="0"/>
              <w:numPr>
                <w:ilvl w:val="0"/>
                <w:numId w:val="5"/>
              </w:numPr>
              <w:spacing w:after="0" w:line="240" w:lineRule="auto"/>
              <w:ind w:left="884"/>
              <w:contextualSpacing/>
              <w:jc w:val="both"/>
              <w:rPr>
                <w:rFonts w:ascii="Times New Roman" w:eastAsia="Georgia" w:hAnsi="Times New Roman" w:cs="Times New Roman"/>
                <w:sz w:val="24"/>
                <w:szCs w:val="24"/>
                <w:lang w:val="en-AU" w:eastAsia="en-AU"/>
              </w:rPr>
            </w:pPr>
            <w:r w:rsidRPr="00A56C8F">
              <w:rPr>
                <w:rFonts w:ascii="Times New Roman" w:eastAsia="Georgia" w:hAnsi="Times New Roman" w:cs="Times New Roman"/>
                <w:sz w:val="24"/>
                <w:szCs w:val="24"/>
                <w:lang w:val="en-AU" w:eastAsia="en-AU"/>
              </w:rPr>
              <w:t xml:space="preserve">colonial officers (such as, AGI, District officer), </w:t>
            </w:r>
          </w:p>
          <w:p w14:paraId="56B1EC6D" w14:textId="77777777" w:rsidR="00A56C8F" w:rsidRPr="00A56C8F" w:rsidRDefault="00A56C8F" w:rsidP="008036F8">
            <w:pPr>
              <w:widowControl w:val="0"/>
              <w:numPr>
                <w:ilvl w:val="0"/>
                <w:numId w:val="5"/>
              </w:numPr>
              <w:spacing w:after="0" w:line="240" w:lineRule="auto"/>
              <w:ind w:left="884"/>
              <w:contextualSpacing/>
              <w:jc w:val="both"/>
              <w:rPr>
                <w:rFonts w:ascii="Times New Roman" w:eastAsia="Georgia" w:hAnsi="Times New Roman" w:cs="Times New Roman"/>
                <w:sz w:val="24"/>
                <w:szCs w:val="24"/>
                <w:lang w:val="en-AU" w:eastAsia="en-AU"/>
              </w:rPr>
            </w:pPr>
            <w:r w:rsidRPr="00A56C8F">
              <w:rPr>
                <w:rFonts w:ascii="Times New Roman" w:eastAsia="Georgia" w:hAnsi="Times New Roman" w:cs="Times New Roman"/>
                <w:sz w:val="24"/>
                <w:szCs w:val="24"/>
                <w:lang w:val="en-AU" w:eastAsia="en-AU"/>
              </w:rPr>
              <w:t xml:space="preserve">plantation management (plantation owners, managers, overseers, sirdars), </w:t>
            </w:r>
          </w:p>
          <w:p w14:paraId="02C7F8DA" w14:textId="77777777" w:rsidR="00A56C8F" w:rsidRPr="00A56C8F" w:rsidRDefault="00A56C8F" w:rsidP="008036F8">
            <w:pPr>
              <w:widowControl w:val="0"/>
              <w:numPr>
                <w:ilvl w:val="0"/>
                <w:numId w:val="5"/>
              </w:numPr>
              <w:spacing w:after="0" w:line="240" w:lineRule="auto"/>
              <w:ind w:left="884"/>
              <w:contextualSpacing/>
              <w:jc w:val="both"/>
              <w:rPr>
                <w:rFonts w:ascii="Times New Roman" w:eastAsia="Times New Roman" w:hAnsi="Times New Roman" w:cs="Times New Roman"/>
                <w:sz w:val="24"/>
                <w:szCs w:val="24"/>
                <w:lang w:val="en-AU" w:eastAsia="en-NZ"/>
              </w:rPr>
            </w:pPr>
            <w:r w:rsidRPr="00A56C8F">
              <w:rPr>
                <w:rFonts w:ascii="Times New Roman" w:eastAsia="Georgia" w:hAnsi="Times New Roman" w:cs="Times New Roman"/>
                <w:sz w:val="24"/>
                <w:szCs w:val="24"/>
                <w:lang w:val="en-AU" w:eastAsia="en-AU"/>
              </w:rPr>
              <w:t xml:space="preserve">and individuals living and working on the plantations (labourers, infants and children) </w:t>
            </w:r>
          </w:p>
        </w:tc>
      </w:tr>
      <w:tr w:rsidR="00A56C8F" w:rsidRPr="00A56C8F" w14:paraId="212EA47C" w14:textId="77777777" w:rsidTr="00D5687E">
        <w:trPr>
          <w:jc w:val="center"/>
        </w:trPr>
        <w:tc>
          <w:tcPr>
            <w:tcW w:w="873" w:type="pct"/>
            <w:shd w:val="clear" w:color="auto" w:fill="auto"/>
            <w:hideMark/>
          </w:tcPr>
          <w:p w14:paraId="116A223F"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i/>
                <w:iCs/>
                <w:sz w:val="24"/>
                <w:szCs w:val="24"/>
                <w:lang w:val="en-US" w:eastAsia="en-NZ"/>
              </w:rPr>
              <w:t>Context (CARE level 1)</w:t>
            </w:r>
            <w:r w:rsidRPr="00A56C8F">
              <w:rPr>
                <w:rFonts w:ascii="Times New Roman" w:eastAsia="Times New Roman" w:hAnsi="Times New Roman" w:cs="Times New Roman"/>
                <w:b/>
                <w:bCs/>
                <w:sz w:val="24"/>
                <w:szCs w:val="24"/>
                <w:lang w:val="en-GB" w:eastAsia="en-NZ"/>
              </w:rPr>
              <w:t> </w:t>
            </w:r>
          </w:p>
        </w:tc>
        <w:tc>
          <w:tcPr>
            <w:tcW w:w="4127" w:type="pct"/>
            <w:shd w:val="clear" w:color="auto" w:fill="auto"/>
            <w:hideMark/>
          </w:tcPr>
          <w:p w14:paraId="2FB08016"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sz w:val="24"/>
                <w:szCs w:val="24"/>
                <w:lang w:val="en-GB" w:eastAsia="en-NZ"/>
              </w:rPr>
            </w:pPr>
            <w:r w:rsidRPr="00A56C8F">
              <w:rPr>
                <w:rFonts w:ascii="Times New Roman" w:eastAsia="Times New Roman" w:hAnsi="Times New Roman" w:cs="Times New Roman"/>
                <w:sz w:val="24"/>
                <w:szCs w:val="24"/>
                <w:lang w:val="en-US" w:eastAsia="en-NZ"/>
              </w:rPr>
              <w:t xml:space="preserve">Situated manifestation of the inequitable act: </w:t>
            </w:r>
            <w:r w:rsidRPr="00A56C8F">
              <w:rPr>
                <w:rFonts w:ascii="Times New Roman" w:eastAsia="Calibri" w:hAnsi="Times New Roman" w:cs="Times New Roman"/>
                <w:sz w:val="24"/>
                <w:szCs w:val="24"/>
                <w:lang w:val="en-GB"/>
              </w:rPr>
              <w:t>Was it, for instance, in an individualized, interpersonal, institutional, community, or structural context</w:t>
            </w:r>
            <w:r w:rsidRPr="00A56C8F">
              <w:rPr>
                <w:rFonts w:ascii="Times New Roman" w:eastAsia="Times New Roman" w:hAnsi="Times New Roman" w:cs="Times New Roman"/>
                <w:sz w:val="24"/>
                <w:szCs w:val="24"/>
                <w:lang w:val="en-GB" w:eastAsia="en-NZ"/>
              </w:rPr>
              <w:t xml:space="preserve"> </w:t>
            </w:r>
          </w:p>
        </w:tc>
      </w:tr>
      <w:tr w:rsidR="00A56C8F" w:rsidRPr="00A56C8F" w14:paraId="5CD63D1C" w14:textId="77777777" w:rsidTr="00D5687E">
        <w:trPr>
          <w:jc w:val="center"/>
        </w:trPr>
        <w:tc>
          <w:tcPr>
            <w:tcW w:w="873" w:type="pct"/>
            <w:tcBorders>
              <w:top w:val="single" w:sz="4" w:space="0" w:color="7F7F7F"/>
              <w:bottom w:val="single" w:sz="4" w:space="0" w:color="7F7F7F"/>
            </w:tcBorders>
            <w:shd w:val="clear" w:color="auto" w:fill="auto"/>
            <w:hideMark/>
          </w:tcPr>
          <w:p w14:paraId="1568F062"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i/>
                <w:iCs/>
                <w:sz w:val="24"/>
                <w:szCs w:val="24"/>
                <w:lang w:val="en-US" w:eastAsia="en-NZ"/>
              </w:rPr>
              <w:t xml:space="preserve">Expression </w:t>
            </w:r>
            <w:r w:rsidRPr="00A56C8F">
              <w:rPr>
                <w:rFonts w:ascii="Times New Roman" w:eastAsia="Times New Roman" w:hAnsi="Times New Roman" w:cs="Times New Roman"/>
                <w:b/>
                <w:bCs/>
                <w:i/>
                <w:iCs/>
                <w:sz w:val="24"/>
                <w:szCs w:val="24"/>
                <w:lang w:val="en-US" w:eastAsia="en-NZ"/>
              </w:rPr>
              <w:lastRenderedPageBreak/>
              <w:t>(CARE level 2)</w:t>
            </w:r>
            <w:r w:rsidRPr="00A56C8F">
              <w:rPr>
                <w:rFonts w:ascii="Times New Roman" w:eastAsia="Times New Roman" w:hAnsi="Times New Roman" w:cs="Times New Roman"/>
                <w:b/>
                <w:bCs/>
                <w:sz w:val="24"/>
                <w:szCs w:val="24"/>
                <w:lang w:val="en-GB" w:eastAsia="en-NZ"/>
              </w:rPr>
              <w:t xml:space="preserve"> </w:t>
            </w:r>
          </w:p>
        </w:tc>
        <w:tc>
          <w:tcPr>
            <w:tcW w:w="4127" w:type="pct"/>
            <w:tcBorders>
              <w:top w:val="single" w:sz="4" w:space="0" w:color="7F7F7F"/>
              <w:bottom w:val="single" w:sz="4" w:space="0" w:color="7F7F7F"/>
            </w:tcBorders>
            <w:shd w:val="clear" w:color="auto" w:fill="auto"/>
            <w:hideMark/>
          </w:tcPr>
          <w:p w14:paraId="75DA9014" w14:textId="77777777" w:rsidR="00A56C8F" w:rsidRPr="00A56C8F" w:rsidRDefault="00A56C8F" w:rsidP="008036F8">
            <w:pPr>
              <w:widowControl w:val="0"/>
              <w:spacing w:after="0" w:line="240" w:lineRule="auto"/>
              <w:contextualSpacing/>
              <w:jc w:val="both"/>
              <w:rPr>
                <w:rFonts w:ascii="Times New Roman" w:eastAsia="Times New Roman" w:hAnsi="Times New Roman" w:cs="Times New Roman"/>
                <w:sz w:val="24"/>
                <w:szCs w:val="24"/>
                <w:lang w:val="en-GB" w:eastAsia="en-NZ"/>
              </w:rPr>
            </w:pPr>
            <w:r w:rsidRPr="00A56C8F">
              <w:rPr>
                <w:rFonts w:ascii="Times New Roman" w:eastAsia="Times New Roman" w:hAnsi="Times New Roman" w:cs="Times New Roman"/>
                <w:sz w:val="24"/>
                <w:szCs w:val="24"/>
                <w:lang w:val="en-US" w:eastAsia="en-NZ"/>
              </w:rPr>
              <w:lastRenderedPageBreak/>
              <w:t xml:space="preserve">Manner in which the inequitable act was conducted: </w:t>
            </w:r>
            <w:r w:rsidRPr="00A56C8F">
              <w:rPr>
                <w:rFonts w:ascii="Times New Roman" w:eastAsia="Calibri" w:hAnsi="Times New Roman" w:cs="Times New Roman"/>
                <w:sz w:val="24"/>
                <w:szCs w:val="24"/>
                <w:lang w:val="en-GB"/>
              </w:rPr>
              <w:t xml:space="preserve">For instance, was it </w:t>
            </w:r>
            <w:r w:rsidRPr="00A56C8F">
              <w:rPr>
                <w:rFonts w:ascii="Times New Roman" w:eastAsia="Calibri" w:hAnsi="Times New Roman" w:cs="Times New Roman"/>
                <w:sz w:val="24"/>
                <w:szCs w:val="24"/>
                <w:lang w:val="en-GB"/>
              </w:rPr>
              <w:lastRenderedPageBreak/>
              <w:t>through regulations, laws, legalized punishment, physical, verbal, psychological or sexual acts of violence</w:t>
            </w:r>
            <w:r w:rsidRPr="00A56C8F">
              <w:rPr>
                <w:rFonts w:ascii="Times New Roman" w:eastAsia="Times New Roman" w:hAnsi="Times New Roman" w:cs="Times New Roman"/>
                <w:sz w:val="24"/>
                <w:szCs w:val="24"/>
                <w:lang w:val="en-GB" w:eastAsia="en-NZ"/>
              </w:rPr>
              <w:t> </w:t>
            </w:r>
          </w:p>
        </w:tc>
      </w:tr>
      <w:tr w:rsidR="00A56C8F" w:rsidRPr="00A56C8F" w14:paraId="68DE9B0C" w14:textId="77777777" w:rsidTr="00D5687E">
        <w:trPr>
          <w:jc w:val="center"/>
        </w:trPr>
        <w:tc>
          <w:tcPr>
            <w:tcW w:w="873" w:type="pct"/>
            <w:shd w:val="clear" w:color="auto" w:fill="auto"/>
            <w:hideMark/>
          </w:tcPr>
          <w:p w14:paraId="21F3401A"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i/>
                <w:iCs/>
                <w:sz w:val="24"/>
                <w:szCs w:val="24"/>
                <w:lang w:val="en-US" w:eastAsia="en-NZ"/>
              </w:rPr>
              <w:lastRenderedPageBreak/>
              <w:t>Type (CARE level 3)</w:t>
            </w:r>
            <w:r w:rsidRPr="00A56C8F">
              <w:rPr>
                <w:rFonts w:ascii="Times New Roman" w:eastAsia="Times New Roman" w:hAnsi="Times New Roman" w:cs="Times New Roman"/>
                <w:b/>
                <w:bCs/>
                <w:sz w:val="24"/>
                <w:szCs w:val="24"/>
                <w:lang w:val="en-GB" w:eastAsia="en-NZ"/>
              </w:rPr>
              <w:t> </w:t>
            </w:r>
          </w:p>
        </w:tc>
        <w:tc>
          <w:tcPr>
            <w:tcW w:w="4127" w:type="pct"/>
            <w:shd w:val="clear" w:color="auto" w:fill="auto"/>
            <w:hideMark/>
          </w:tcPr>
          <w:p w14:paraId="0BEEF2A0"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sz w:val="24"/>
                <w:szCs w:val="24"/>
                <w:lang w:val="en-GB" w:eastAsia="en-NZ"/>
              </w:rPr>
            </w:pPr>
            <w:r w:rsidRPr="00A56C8F">
              <w:rPr>
                <w:rFonts w:ascii="Times New Roman" w:eastAsia="Times New Roman" w:hAnsi="Times New Roman" w:cs="Times New Roman"/>
                <w:sz w:val="24"/>
                <w:szCs w:val="24"/>
                <w:lang w:val="en-US" w:eastAsia="en-NZ"/>
              </w:rPr>
              <w:t xml:space="preserve">Description of the </w:t>
            </w:r>
            <w:r w:rsidRPr="00A56C8F">
              <w:rPr>
                <w:rFonts w:ascii="Times New Roman" w:eastAsia="Calibri" w:hAnsi="Times New Roman" w:cs="Times New Roman"/>
                <w:sz w:val="24"/>
                <w:szCs w:val="24"/>
                <w:lang w:val="en-GB"/>
              </w:rPr>
              <w:t xml:space="preserve">occurrence of an act, which, from the perspective of the people living on the plantation, was a marker of inequality </w:t>
            </w:r>
          </w:p>
        </w:tc>
      </w:tr>
      <w:tr w:rsidR="00A56C8F" w:rsidRPr="00A56C8F" w14:paraId="0C9AEAF0" w14:textId="77777777" w:rsidTr="00D5687E">
        <w:trPr>
          <w:jc w:val="center"/>
        </w:trPr>
        <w:tc>
          <w:tcPr>
            <w:tcW w:w="873" w:type="pct"/>
            <w:tcBorders>
              <w:top w:val="single" w:sz="4" w:space="0" w:color="7F7F7F"/>
              <w:bottom w:val="single" w:sz="4" w:space="0" w:color="7F7F7F"/>
            </w:tcBorders>
            <w:shd w:val="clear" w:color="auto" w:fill="auto"/>
            <w:hideMark/>
          </w:tcPr>
          <w:p w14:paraId="3EEEFAAB"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i/>
                <w:iCs/>
                <w:sz w:val="24"/>
                <w:szCs w:val="24"/>
                <w:lang w:val="en-US" w:eastAsia="en-NZ"/>
              </w:rPr>
              <w:t>Frequency</w:t>
            </w:r>
            <w:r w:rsidRPr="00A56C8F">
              <w:rPr>
                <w:rFonts w:ascii="Times New Roman" w:eastAsia="Times New Roman" w:hAnsi="Times New Roman" w:cs="Times New Roman"/>
                <w:b/>
                <w:bCs/>
                <w:sz w:val="24"/>
                <w:szCs w:val="24"/>
                <w:lang w:val="en-GB" w:eastAsia="en-NZ"/>
              </w:rPr>
              <w:t> </w:t>
            </w:r>
          </w:p>
        </w:tc>
        <w:tc>
          <w:tcPr>
            <w:tcW w:w="4127" w:type="pct"/>
            <w:tcBorders>
              <w:top w:val="single" w:sz="4" w:space="0" w:color="7F7F7F"/>
              <w:bottom w:val="single" w:sz="4" w:space="0" w:color="7F7F7F"/>
            </w:tcBorders>
            <w:shd w:val="clear" w:color="auto" w:fill="auto"/>
            <w:hideMark/>
          </w:tcPr>
          <w:p w14:paraId="71134DC1"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sz w:val="24"/>
                <w:szCs w:val="24"/>
                <w:lang w:val="en-GB" w:eastAsia="en-NZ"/>
              </w:rPr>
            </w:pPr>
            <w:r w:rsidRPr="00A56C8F">
              <w:rPr>
                <w:rFonts w:ascii="Times New Roman" w:eastAsia="Times New Roman" w:hAnsi="Times New Roman" w:cs="Times New Roman"/>
                <w:sz w:val="24"/>
                <w:szCs w:val="24"/>
                <w:lang w:val="en-US" w:eastAsia="en-NZ"/>
              </w:rPr>
              <w:t>How often did the causal act occur</w:t>
            </w:r>
            <w:r w:rsidRPr="00A56C8F">
              <w:rPr>
                <w:rFonts w:ascii="Times New Roman" w:eastAsia="Times New Roman" w:hAnsi="Times New Roman" w:cs="Times New Roman"/>
                <w:sz w:val="24"/>
                <w:szCs w:val="24"/>
                <w:lang w:val="en-GB" w:eastAsia="en-NZ"/>
              </w:rPr>
              <w:t> </w:t>
            </w:r>
          </w:p>
        </w:tc>
      </w:tr>
      <w:tr w:rsidR="00A56C8F" w:rsidRPr="00A56C8F" w14:paraId="3A06512C" w14:textId="77777777" w:rsidTr="00D5687E">
        <w:trPr>
          <w:jc w:val="center"/>
        </w:trPr>
        <w:tc>
          <w:tcPr>
            <w:tcW w:w="873" w:type="pct"/>
            <w:shd w:val="clear" w:color="auto" w:fill="auto"/>
            <w:hideMark/>
          </w:tcPr>
          <w:p w14:paraId="2E33BC8D"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i/>
                <w:iCs/>
                <w:sz w:val="24"/>
                <w:szCs w:val="24"/>
                <w:lang w:val="en-US" w:eastAsia="en-NZ"/>
              </w:rPr>
              <w:t>Duration</w:t>
            </w:r>
            <w:r w:rsidRPr="00A56C8F">
              <w:rPr>
                <w:rFonts w:ascii="Times New Roman" w:eastAsia="Times New Roman" w:hAnsi="Times New Roman" w:cs="Times New Roman"/>
                <w:b/>
                <w:bCs/>
                <w:sz w:val="24"/>
                <w:szCs w:val="24"/>
                <w:lang w:val="en-GB" w:eastAsia="en-NZ"/>
              </w:rPr>
              <w:t> </w:t>
            </w:r>
          </w:p>
        </w:tc>
        <w:tc>
          <w:tcPr>
            <w:tcW w:w="4127" w:type="pct"/>
            <w:shd w:val="clear" w:color="auto" w:fill="auto"/>
            <w:hideMark/>
          </w:tcPr>
          <w:p w14:paraId="11D52C04"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sz w:val="24"/>
                <w:szCs w:val="24"/>
                <w:lang w:val="en-GB" w:eastAsia="en-NZ"/>
              </w:rPr>
            </w:pPr>
            <w:r w:rsidRPr="00A56C8F">
              <w:rPr>
                <w:rFonts w:ascii="Times New Roman" w:eastAsia="Times New Roman" w:hAnsi="Times New Roman" w:cs="Times New Roman"/>
                <w:sz w:val="24"/>
                <w:szCs w:val="24"/>
                <w:lang w:val="en-US" w:eastAsia="en-NZ"/>
              </w:rPr>
              <w:t>How long was the causal act sustained</w:t>
            </w:r>
            <w:r w:rsidRPr="00A56C8F">
              <w:rPr>
                <w:rFonts w:ascii="Times New Roman" w:eastAsia="Times New Roman" w:hAnsi="Times New Roman" w:cs="Times New Roman"/>
                <w:sz w:val="24"/>
                <w:szCs w:val="24"/>
                <w:lang w:val="en-GB" w:eastAsia="en-NZ"/>
              </w:rPr>
              <w:t> </w:t>
            </w:r>
          </w:p>
        </w:tc>
      </w:tr>
      <w:tr w:rsidR="00A56C8F" w:rsidRPr="00A56C8F" w14:paraId="103B0E8E" w14:textId="77777777" w:rsidTr="00D5687E">
        <w:trPr>
          <w:jc w:val="center"/>
        </w:trPr>
        <w:tc>
          <w:tcPr>
            <w:tcW w:w="873" w:type="pct"/>
            <w:tcBorders>
              <w:top w:val="single" w:sz="4" w:space="0" w:color="7F7F7F"/>
              <w:bottom w:val="single" w:sz="4" w:space="0" w:color="7F7F7F"/>
            </w:tcBorders>
            <w:shd w:val="clear" w:color="auto" w:fill="auto"/>
            <w:hideMark/>
          </w:tcPr>
          <w:p w14:paraId="1F64D5E9"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i/>
                <w:iCs/>
                <w:sz w:val="24"/>
                <w:szCs w:val="24"/>
                <w:lang w:val="en-US" w:eastAsia="en-NZ"/>
              </w:rPr>
              <w:t>Temporal and spatial location</w:t>
            </w:r>
            <w:r w:rsidRPr="00A56C8F">
              <w:rPr>
                <w:rFonts w:ascii="Times New Roman" w:eastAsia="Times New Roman" w:hAnsi="Times New Roman" w:cs="Times New Roman"/>
                <w:b/>
                <w:bCs/>
                <w:sz w:val="24"/>
                <w:szCs w:val="24"/>
                <w:lang w:val="en-US" w:eastAsia="en-NZ"/>
              </w:rPr>
              <w:t xml:space="preserve"> </w:t>
            </w:r>
          </w:p>
        </w:tc>
        <w:tc>
          <w:tcPr>
            <w:tcW w:w="4127" w:type="pct"/>
            <w:tcBorders>
              <w:top w:val="single" w:sz="4" w:space="0" w:color="7F7F7F"/>
              <w:bottom w:val="single" w:sz="4" w:space="0" w:color="7F7F7F"/>
            </w:tcBorders>
            <w:shd w:val="clear" w:color="auto" w:fill="auto"/>
            <w:hideMark/>
          </w:tcPr>
          <w:p w14:paraId="7A6F05B6" w14:textId="77777777" w:rsidR="00A56C8F" w:rsidRPr="00A56C8F" w:rsidRDefault="00A56C8F" w:rsidP="008036F8">
            <w:pPr>
              <w:widowControl w:val="0"/>
              <w:spacing w:after="0" w:line="240" w:lineRule="auto"/>
              <w:contextualSpacing/>
              <w:jc w:val="both"/>
              <w:rPr>
                <w:rFonts w:ascii="Times New Roman" w:eastAsia="Calibri" w:hAnsi="Times New Roman" w:cs="Times New Roman"/>
                <w:sz w:val="24"/>
                <w:szCs w:val="24"/>
                <w:lang w:val="en-GB"/>
              </w:rPr>
            </w:pPr>
            <w:r w:rsidRPr="00A56C8F">
              <w:rPr>
                <w:rFonts w:ascii="Times New Roman" w:eastAsia="Calibri" w:hAnsi="Times New Roman" w:cs="Times New Roman"/>
                <w:i/>
                <w:sz w:val="24"/>
                <w:szCs w:val="24"/>
                <w:lang w:val="en-GB"/>
              </w:rPr>
              <w:t>When</w:t>
            </w:r>
            <w:r w:rsidRPr="00A56C8F">
              <w:rPr>
                <w:rFonts w:ascii="Times New Roman" w:eastAsia="Calibri" w:hAnsi="Times New Roman" w:cs="Times New Roman"/>
                <w:sz w:val="24"/>
                <w:szCs w:val="24"/>
                <w:lang w:val="en-GB"/>
              </w:rPr>
              <w:t xml:space="preserve"> (during working hours, outside of working hours, or in terms of historical chronology) and </w:t>
            </w:r>
            <w:r w:rsidRPr="00A56C8F">
              <w:rPr>
                <w:rFonts w:ascii="Times New Roman" w:eastAsia="Calibri" w:hAnsi="Times New Roman" w:cs="Times New Roman"/>
                <w:i/>
                <w:sz w:val="24"/>
                <w:szCs w:val="24"/>
                <w:lang w:val="en-GB"/>
              </w:rPr>
              <w:t>where</w:t>
            </w:r>
            <w:r w:rsidRPr="00A56C8F">
              <w:rPr>
                <w:rFonts w:ascii="Times New Roman" w:eastAsia="Calibri" w:hAnsi="Times New Roman" w:cs="Times New Roman"/>
                <w:sz w:val="24"/>
                <w:szCs w:val="24"/>
                <w:lang w:val="en-GB"/>
              </w:rPr>
              <w:t xml:space="preserve"> the act of inequality took place (for example, within the labourers’ place of residence; on the plantations; hospital or healthcare centre; in the courts; in official documents)</w:t>
            </w:r>
            <w:r w:rsidRPr="00A56C8F">
              <w:rPr>
                <w:rFonts w:ascii="Times New Roman" w:eastAsia="Calibri" w:hAnsi="Times New Roman" w:cs="Times New Roman"/>
                <w:sz w:val="24"/>
                <w:szCs w:val="24"/>
                <w:vertAlign w:val="superscript"/>
                <w:lang w:val="en-GB"/>
              </w:rPr>
              <w:footnoteReference w:id="1"/>
            </w:r>
            <w:r w:rsidRPr="00A56C8F">
              <w:rPr>
                <w:rFonts w:ascii="Times New Roman" w:eastAsia="Calibri" w:hAnsi="Times New Roman" w:cs="Times New Roman"/>
                <w:sz w:val="24"/>
                <w:szCs w:val="24"/>
                <w:lang w:val="en-GB"/>
              </w:rPr>
              <w:t xml:space="preserve"> </w:t>
            </w:r>
          </w:p>
        </w:tc>
      </w:tr>
      <w:tr w:rsidR="00A56C8F" w:rsidRPr="00A56C8F" w14:paraId="1AA99379" w14:textId="77777777" w:rsidTr="00D5687E">
        <w:trPr>
          <w:jc w:val="center"/>
        </w:trPr>
        <w:tc>
          <w:tcPr>
            <w:tcW w:w="873" w:type="pct"/>
            <w:shd w:val="clear" w:color="auto" w:fill="auto"/>
            <w:hideMark/>
          </w:tcPr>
          <w:p w14:paraId="44AA25BE"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i/>
                <w:iCs/>
                <w:sz w:val="24"/>
                <w:szCs w:val="24"/>
                <w:lang w:val="en-US" w:eastAsia="en-NZ"/>
              </w:rPr>
            </w:pPr>
            <w:r w:rsidRPr="00A56C8F">
              <w:rPr>
                <w:rFonts w:ascii="Times New Roman" w:eastAsia="Times New Roman" w:hAnsi="Times New Roman" w:cs="Times New Roman"/>
                <w:b/>
                <w:bCs/>
                <w:i/>
                <w:iCs/>
                <w:sz w:val="24"/>
                <w:szCs w:val="24"/>
                <w:lang w:val="en-US" w:eastAsia="en-NZ"/>
              </w:rPr>
              <w:t>Responsibility </w:t>
            </w:r>
          </w:p>
          <w:p w14:paraId="4E76C0CA" w14:textId="77777777" w:rsidR="00A56C8F" w:rsidRPr="00A56C8F" w:rsidRDefault="00A56C8F" w:rsidP="008036F8">
            <w:pPr>
              <w:widowControl w:val="0"/>
              <w:spacing w:after="0" w:line="240" w:lineRule="auto"/>
              <w:contextualSpacing/>
              <w:jc w:val="both"/>
              <w:textAlignment w:val="baseline"/>
              <w:rPr>
                <w:rFonts w:ascii="Times New Roman" w:eastAsia="Times New Roman" w:hAnsi="Times New Roman" w:cs="Times New Roman"/>
                <w:b/>
                <w:bCs/>
                <w:sz w:val="24"/>
                <w:szCs w:val="24"/>
                <w:lang w:val="en-GB" w:eastAsia="en-NZ"/>
              </w:rPr>
            </w:pPr>
            <w:r w:rsidRPr="00A56C8F">
              <w:rPr>
                <w:rFonts w:ascii="Times New Roman" w:eastAsia="Times New Roman" w:hAnsi="Times New Roman" w:cs="Times New Roman"/>
                <w:b/>
                <w:bCs/>
                <w:i/>
                <w:iCs/>
                <w:sz w:val="24"/>
                <w:szCs w:val="24"/>
                <w:lang w:val="en-US" w:eastAsia="en-NZ"/>
              </w:rPr>
              <w:t>attribution</w:t>
            </w:r>
            <w:r w:rsidRPr="00A56C8F">
              <w:rPr>
                <w:rFonts w:ascii="Times New Roman" w:eastAsia="Times New Roman" w:hAnsi="Times New Roman" w:cs="Times New Roman"/>
                <w:b/>
                <w:bCs/>
                <w:sz w:val="24"/>
                <w:szCs w:val="24"/>
                <w:lang w:val="en-GB" w:eastAsia="en-NZ"/>
              </w:rPr>
              <w:t> </w:t>
            </w:r>
          </w:p>
        </w:tc>
        <w:tc>
          <w:tcPr>
            <w:tcW w:w="4127" w:type="pct"/>
            <w:shd w:val="clear" w:color="auto" w:fill="auto"/>
            <w:hideMark/>
          </w:tcPr>
          <w:p w14:paraId="3CCEEC43" w14:textId="77777777" w:rsidR="00A56C8F" w:rsidRPr="00A56C8F" w:rsidRDefault="00A56C8F" w:rsidP="008036F8">
            <w:pPr>
              <w:widowControl w:val="0"/>
              <w:spacing w:after="0" w:line="240" w:lineRule="auto"/>
              <w:contextualSpacing/>
              <w:jc w:val="both"/>
              <w:rPr>
                <w:rFonts w:ascii="Times New Roman" w:eastAsia="Georgia" w:hAnsi="Times New Roman" w:cs="Times New Roman"/>
                <w:sz w:val="24"/>
                <w:szCs w:val="24"/>
                <w:lang w:val="en-GB"/>
              </w:rPr>
            </w:pPr>
            <w:r w:rsidRPr="00A56C8F">
              <w:rPr>
                <w:rFonts w:ascii="Times New Roman" w:eastAsia="Times New Roman" w:hAnsi="Times New Roman" w:cs="Times New Roman"/>
                <w:sz w:val="24"/>
                <w:szCs w:val="24"/>
                <w:lang w:val="en-US" w:eastAsia="en-NZ"/>
              </w:rPr>
              <w:t>The agency associated with responsibility and power to mitigate such acts of inequ</w:t>
            </w:r>
            <w:r w:rsidRPr="00A56C8F">
              <w:rPr>
                <w:rFonts w:ascii="Times New Roman" w:eastAsia="Times New Roman" w:hAnsi="Times New Roman" w:cs="Times New Roman"/>
                <w:color w:val="000000"/>
                <w:sz w:val="24"/>
                <w:szCs w:val="24"/>
                <w:shd w:val="clear" w:color="auto" w:fill="FFFFFF"/>
                <w:lang w:val="en-US" w:eastAsia="en-NZ"/>
              </w:rPr>
              <w:t>al</w:t>
            </w:r>
            <w:r w:rsidRPr="00A56C8F">
              <w:rPr>
                <w:rFonts w:ascii="Times New Roman" w:eastAsia="Times New Roman" w:hAnsi="Times New Roman" w:cs="Times New Roman"/>
                <w:sz w:val="24"/>
                <w:szCs w:val="24"/>
                <w:lang w:val="en-US" w:eastAsia="en-NZ"/>
              </w:rPr>
              <w:t xml:space="preserve">ity. </w:t>
            </w:r>
            <w:r w:rsidRPr="00A56C8F">
              <w:rPr>
                <w:rFonts w:ascii="Times New Roman" w:eastAsia="Calibri" w:hAnsi="Times New Roman" w:cs="Times New Roman"/>
                <w:sz w:val="24"/>
                <w:szCs w:val="24"/>
                <w:lang w:val="en-GB"/>
              </w:rPr>
              <w:t>Agency evaluation needs to also be tied to power within the hierarchy. T</w:t>
            </w:r>
            <w:r w:rsidRPr="00A56C8F">
              <w:rPr>
                <w:rFonts w:ascii="Times New Roman" w:eastAsia="Georgia" w:hAnsi="Times New Roman" w:cs="Times New Roman"/>
                <w:sz w:val="24"/>
                <w:szCs w:val="24"/>
                <w:lang w:val="en-GB"/>
              </w:rPr>
              <w:t>he knowledge about the perpetration of inequ</w:t>
            </w:r>
            <w:r w:rsidRPr="00A56C8F">
              <w:rPr>
                <w:rFonts w:ascii="Times New Roman" w:eastAsia="Calibri" w:hAnsi="Times New Roman" w:cs="Times New Roman"/>
                <w:color w:val="000000"/>
                <w:sz w:val="24"/>
                <w:szCs w:val="24"/>
                <w:shd w:val="clear" w:color="auto" w:fill="FFFFFF"/>
                <w:lang w:val="en-GB"/>
              </w:rPr>
              <w:t>al</w:t>
            </w:r>
            <w:r w:rsidRPr="00A56C8F">
              <w:rPr>
                <w:rFonts w:ascii="Times New Roman" w:eastAsia="Georgia" w:hAnsi="Times New Roman" w:cs="Times New Roman"/>
                <w:sz w:val="24"/>
                <w:szCs w:val="24"/>
                <w:lang w:val="en-GB"/>
              </w:rPr>
              <w:t xml:space="preserve">ities and (in)action on the part of: </w:t>
            </w:r>
          </w:p>
          <w:p w14:paraId="694A88E0" w14:textId="77777777" w:rsidR="00A56C8F" w:rsidRPr="00A56C8F" w:rsidRDefault="00A56C8F" w:rsidP="008036F8">
            <w:pPr>
              <w:widowControl w:val="0"/>
              <w:numPr>
                <w:ilvl w:val="0"/>
                <w:numId w:val="4"/>
              </w:numPr>
              <w:spacing w:after="0" w:line="240" w:lineRule="auto"/>
              <w:ind w:left="317" w:hanging="284"/>
              <w:contextualSpacing/>
              <w:jc w:val="both"/>
              <w:rPr>
                <w:rFonts w:ascii="Times New Roman" w:eastAsia="Georgia" w:hAnsi="Times New Roman" w:cs="Times New Roman"/>
                <w:sz w:val="24"/>
                <w:szCs w:val="24"/>
                <w:lang w:val="en-AU" w:eastAsia="en-AU"/>
              </w:rPr>
            </w:pPr>
            <w:r w:rsidRPr="00A56C8F">
              <w:rPr>
                <w:rFonts w:ascii="Times New Roman" w:eastAsia="Georgia" w:hAnsi="Times New Roman" w:cs="Times New Roman"/>
                <w:sz w:val="24"/>
                <w:szCs w:val="24"/>
                <w:lang w:val="en-AU" w:eastAsia="en-AU"/>
              </w:rPr>
              <w:t xml:space="preserve">institutions (such as, government, judiciary), </w:t>
            </w:r>
          </w:p>
          <w:p w14:paraId="6B71DE9A" w14:textId="77777777" w:rsidR="00A56C8F" w:rsidRPr="00A56C8F" w:rsidRDefault="00A56C8F" w:rsidP="008036F8">
            <w:pPr>
              <w:widowControl w:val="0"/>
              <w:numPr>
                <w:ilvl w:val="0"/>
                <w:numId w:val="4"/>
              </w:numPr>
              <w:spacing w:after="0" w:line="240" w:lineRule="auto"/>
              <w:ind w:left="317" w:hanging="284"/>
              <w:contextualSpacing/>
              <w:jc w:val="both"/>
              <w:rPr>
                <w:rFonts w:ascii="Times New Roman" w:eastAsia="Georgia" w:hAnsi="Times New Roman" w:cs="Times New Roman"/>
                <w:sz w:val="24"/>
                <w:szCs w:val="24"/>
                <w:lang w:val="en-AU" w:eastAsia="en-AU"/>
              </w:rPr>
            </w:pPr>
            <w:r w:rsidRPr="00A56C8F">
              <w:rPr>
                <w:rFonts w:ascii="Times New Roman" w:eastAsia="Georgia" w:hAnsi="Times New Roman" w:cs="Times New Roman"/>
                <w:sz w:val="24"/>
                <w:szCs w:val="24"/>
                <w:lang w:val="en-AU" w:eastAsia="en-AU"/>
              </w:rPr>
              <w:t xml:space="preserve">or individuals: </w:t>
            </w:r>
          </w:p>
          <w:p w14:paraId="0A75A300" w14:textId="77777777" w:rsidR="00A56C8F" w:rsidRPr="00A56C8F" w:rsidRDefault="00A56C8F" w:rsidP="008036F8">
            <w:pPr>
              <w:widowControl w:val="0"/>
              <w:numPr>
                <w:ilvl w:val="0"/>
                <w:numId w:val="6"/>
              </w:numPr>
              <w:spacing w:after="0" w:line="240" w:lineRule="auto"/>
              <w:ind w:left="600" w:hanging="283"/>
              <w:contextualSpacing/>
              <w:jc w:val="both"/>
              <w:rPr>
                <w:rFonts w:ascii="Times New Roman" w:eastAsia="Georgia" w:hAnsi="Times New Roman" w:cs="Times New Roman"/>
                <w:sz w:val="24"/>
                <w:szCs w:val="24"/>
                <w:lang w:val="en-AU" w:eastAsia="en-AU"/>
              </w:rPr>
            </w:pPr>
            <w:r w:rsidRPr="00A56C8F">
              <w:rPr>
                <w:rFonts w:ascii="Times New Roman" w:eastAsia="Georgia" w:hAnsi="Times New Roman" w:cs="Times New Roman"/>
                <w:sz w:val="24"/>
                <w:szCs w:val="24"/>
                <w:lang w:val="en-AU" w:eastAsia="en-AU"/>
              </w:rPr>
              <w:t xml:space="preserve">colonial officers (such as, AGI, District officer), </w:t>
            </w:r>
          </w:p>
          <w:p w14:paraId="5DFADD96" w14:textId="77777777" w:rsidR="00A56C8F" w:rsidRPr="00A56C8F" w:rsidRDefault="00A56C8F" w:rsidP="008036F8">
            <w:pPr>
              <w:widowControl w:val="0"/>
              <w:numPr>
                <w:ilvl w:val="0"/>
                <w:numId w:val="6"/>
              </w:numPr>
              <w:spacing w:after="0" w:line="240" w:lineRule="auto"/>
              <w:ind w:left="600" w:hanging="283"/>
              <w:contextualSpacing/>
              <w:jc w:val="both"/>
              <w:rPr>
                <w:rFonts w:ascii="Times New Roman" w:eastAsia="Georgia" w:hAnsi="Times New Roman" w:cs="Times New Roman"/>
                <w:sz w:val="24"/>
                <w:szCs w:val="24"/>
                <w:lang w:val="en-AU" w:eastAsia="en-AU"/>
              </w:rPr>
            </w:pPr>
            <w:r w:rsidRPr="00A56C8F">
              <w:rPr>
                <w:rFonts w:ascii="Times New Roman" w:eastAsia="Georgia" w:hAnsi="Times New Roman" w:cs="Times New Roman"/>
                <w:sz w:val="24"/>
                <w:szCs w:val="24"/>
                <w:lang w:val="en-AU" w:eastAsia="en-AU"/>
              </w:rPr>
              <w:t xml:space="preserve">plantation management (plantation owners, managers, overseers, sirdars), </w:t>
            </w:r>
          </w:p>
          <w:p w14:paraId="7C13B23C" w14:textId="77777777" w:rsidR="00A56C8F" w:rsidRPr="00A56C8F" w:rsidRDefault="00A56C8F" w:rsidP="008036F8">
            <w:pPr>
              <w:widowControl w:val="0"/>
              <w:numPr>
                <w:ilvl w:val="0"/>
                <w:numId w:val="6"/>
              </w:numPr>
              <w:spacing w:after="0" w:line="240" w:lineRule="auto"/>
              <w:ind w:left="600" w:hanging="283"/>
              <w:contextualSpacing/>
              <w:jc w:val="both"/>
              <w:rPr>
                <w:rFonts w:ascii="Times New Roman" w:eastAsia="Times New Roman" w:hAnsi="Times New Roman" w:cs="Times New Roman"/>
                <w:sz w:val="24"/>
                <w:szCs w:val="24"/>
                <w:lang w:val="en-AU" w:eastAsia="en-NZ"/>
              </w:rPr>
            </w:pPr>
            <w:r w:rsidRPr="00A56C8F">
              <w:rPr>
                <w:rFonts w:ascii="Times New Roman" w:eastAsia="Georgia" w:hAnsi="Times New Roman" w:cs="Times New Roman"/>
                <w:sz w:val="24"/>
                <w:szCs w:val="24"/>
                <w:lang w:val="en-AU" w:eastAsia="en-AU"/>
              </w:rPr>
              <w:t xml:space="preserve">and individuals living and working on the plantations (labourers, infants and children) </w:t>
            </w:r>
          </w:p>
        </w:tc>
      </w:tr>
    </w:tbl>
    <w:p w14:paraId="27AF79C7" w14:textId="5B2F7E16" w:rsidR="007C0C55" w:rsidRPr="00841FCF" w:rsidRDefault="007C0C55" w:rsidP="008036F8">
      <w:pPr>
        <w:spacing w:line="360" w:lineRule="auto"/>
        <w:jc w:val="both"/>
        <w:rPr>
          <w:rFonts w:ascii="Times New Roman" w:hAnsi="Times New Roman" w:cs="Times New Roman"/>
          <w:sz w:val="24"/>
          <w:szCs w:val="24"/>
        </w:rPr>
      </w:pPr>
      <w:bookmarkStart w:id="11" w:name="_Hlk10207779"/>
    </w:p>
    <w:bookmarkEnd w:id="11"/>
    <w:p w14:paraId="11F343E6" w14:textId="1CF723D5" w:rsidR="00AD3CC7" w:rsidRPr="00E47A0F" w:rsidRDefault="00D5687E" w:rsidP="008036F8">
      <w:pPr>
        <w:pStyle w:val="Heading1"/>
        <w:spacing w:line="360" w:lineRule="auto"/>
        <w:jc w:val="both"/>
        <w:rPr>
          <w:rFonts w:ascii="Times New Roman" w:hAnsi="Times New Roman" w:cs="Times New Roman"/>
          <w:sz w:val="24"/>
          <w:szCs w:val="24"/>
        </w:rPr>
      </w:pPr>
      <w:r>
        <w:rPr>
          <w:rFonts w:ascii="Times New Roman" w:hAnsi="Times New Roman" w:cs="Times New Roman"/>
          <w:sz w:val="24"/>
          <w:szCs w:val="24"/>
        </w:rPr>
        <w:t>Analysis</w:t>
      </w:r>
      <w:r w:rsidR="00774DE6" w:rsidRPr="00E47A0F">
        <w:rPr>
          <w:rFonts w:ascii="Times New Roman" w:hAnsi="Times New Roman" w:cs="Times New Roman"/>
          <w:sz w:val="24"/>
          <w:szCs w:val="24"/>
        </w:rPr>
        <w:t xml:space="preserve"> of o</w:t>
      </w:r>
      <w:r w:rsidR="00821B5E" w:rsidRPr="00E47A0F">
        <w:rPr>
          <w:rFonts w:ascii="Times New Roman" w:hAnsi="Times New Roman" w:cs="Times New Roman"/>
          <w:sz w:val="24"/>
          <w:szCs w:val="24"/>
        </w:rPr>
        <w:t>utcomes</w:t>
      </w:r>
      <w:r w:rsidR="00AD3CC7" w:rsidRPr="00E47A0F">
        <w:rPr>
          <w:rFonts w:ascii="Times New Roman" w:hAnsi="Times New Roman" w:cs="Times New Roman"/>
          <w:sz w:val="24"/>
          <w:szCs w:val="24"/>
        </w:rPr>
        <w:t xml:space="preserve"> of inequality</w:t>
      </w:r>
    </w:p>
    <w:p w14:paraId="45B45524" w14:textId="77777777" w:rsidR="00841FCF" w:rsidRDefault="00AD3CC7" w:rsidP="008036F8">
      <w:pPr>
        <w:spacing w:line="360" w:lineRule="auto"/>
        <w:jc w:val="both"/>
        <w:rPr>
          <w:rFonts w:ascii="Times New Roman" w:hAnsi="Times New Roman" w:cs="Times New Roman"/>
          <w:sz w:val="24"/>
          <w:szCs w:val="24"/>
        </w:rPr>
      </w:pPr>
      <w:bookmarkStart w:id="12" w:name="_Hlk10207837"/>
      <w:r w:rsidRPr="00E47A0F">
        <w:rPr>
          <w:rFonts w:ascii="Times New Roman" w:hAnsi="Times New Roman" w:cs="Times New Roman"/>
          <w:sz w:val="24"/>
          <w:szCs w:val="24"/>
        </w:rPr>
        <w:t>As an act is perceived to be inequitable from an individual’s perspective, the consequences of inequality may be measured along the following aspects:</w:t>
      </w:r>
    </w:p>
    <w:p w14:paraId="72083E85" w14:textId="137A69F6" w:rsidR="00841FCF" w:rsidRPr="00841FCF" w:rsidRDefault="00841FCF" w:rsidP="008036F8">
      <w:pPr>
        <w:spacing w:line="360" w:lineRule="auto"/>
        <w:jc w:val="both"/>
        <w:rPr>
          <w:rFonts w:ascii="Times New Roman" w:hAnsi="Times New Roman" w:cs="Times New Roman"/>
          <w:b/>
          <w:sz w:val="24"/>
          <w:szCs w:val="24"/>
          <w:lang w:val="en-US"/>
        </w:rPr>
      </w:pPr>
      <w:r w:rsidRPr="00841FCF">
        <w:rPr>
          <w:rFonts w:ascii="Times New Roman" w:hAnsi="Times New Roman" w:cs="Times New Roman"/>
          <w:b/>
          <w:sz w:val="24"/>
          <w:szCs w:val="24"/>
          <w:lang w:val="en-US"/>
        </w:rPr>
        <w:t>Table 2: Analysing consequences of inequity through the CARE framework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5592"/>
      </w:tblGrid>
      <w:tr w:rsidR="00841FCF" w:rsidRPr="00841FCF" w14:paraId="4A0B53B4" w14:textId="77777777" w:rsidTr="00F1640C">
        <w:trPr>
          <w:jc w:val="center"/>
        </w:trPr>
        <w:tc>
          <w:tcPr>
            <w:tcW w:w="1899" w:type="pct"/>
            <w:tcBorders>
              <w:bottom w:val="single" w:sz="4" w:space="0" w:color="7F7F7F"/>
            </w:tcBorders>
            <w:shd w:val="clear" w:color="auto" w:fill="auto"/>
            <w:tcMar>
              <w:left w:w="57" w:type="dxa"/>
              <w:right w:w="57" w:type="dxa"/>
            </w:tcMar>
            <w:hideMark/>
          </w:tcPr>
          <w:p w14:paraId="41536190" w14:textId="77777777" w:rsidR="00841FCF" w:rsidRPr="00841FCF" w:rsidRDefault="00841FCF" w:rsidP="008036F8">
            <w:pPr>
              <w:spacing w:line="240" w:lineRule="auto"/>
              <w:contextualSpacing/>
              <w:jc w:val="both"/>
              <w:rPr>
                <w:rFonts w:ascii="Times New Roman" w:hAnsi="Times New Roman" w:cs="Times New Roman"/>
                <w:b/>
                <w:bCs/>
                <w:sz w:val="24"/>
                <w:szCs w:val="24"/>
                <w:lang w:val="en-GB"/>
              </w:rPr>
            </w:pPr>
            <w:r w:rsidRPr="00841FCF">
              <w:rPr>
                <w:rFonts w:ascii="Times New Roman" w:hAnsi="Times New Roman" w:cs="Times New Roman"/>
                <w:b/>
                <w:bCs/>
                <w:sz w:val="24"/>
                <w:szCs w:val="24"/>
                <w:lang w:val="en-GB"/>
              </w:rPr>
              <w:t>Analytical categories</w:t>
            </w:r>
          </w:p>
        </w:tc>
        <w:tc>
          <w:tcPr>
            <w:tcW w:w="3101" w:type="pct"/>
            <w:tcBorders>
              <w:bottom w:val="single" w:sz="4" w:space="0" w:color="7F7F7F"/>
            </w:tcBorders>
            <w:shd w:val="clear" w:color="auto" w:fill="auto"/>
            <w:tcMar>
              <w:left w:w="57" w:type="dxa"/>
              <w:right w:w="57" w:type="dxa"/>
            </w:tcMar>
            <w:hideMark/>
          </w:tcPr>
          <w:p w14:paraId="36D2A4DC" w14:textId="77777777" w:rsidR="00841FCF" w:rsidRPr="00841FCF" w:rsidRDefault="00841FCF" w:rsidP="008036F8">
            <w:pPr>
              <w:spacing w:line="240" w:lineRule="auto"/>
              <w:contextualSpacing/>
              <w:jc w:val="both"/>
              <w:rPr>
                <w:rFonts w:ascii="Times New Roman" w:hAnsi="Times New Roman" w:cs="Times New Roman"/>
                <w:b/>
                <w:bCs/>
                <w:sz w:val="24"/>
                <w:szCs w:val="24"/>
                <w:lang w:val="en-GB"/>
              </w:rPr>
            </w:pPr>
            <w:r w:rsidRPr="00841FCF">
              <w:rPr>
                <w:rFonts w:ascii="Times New Roman" w:hAnsi="Times New Roman" w:cs="Times New Roman"/>
                <w:b/>
                <w:bCs/>
                <w:sz w:val="24"/>
                <w:szCs w:val="24"/>
                <w:lang w:val="en-US"/>
              </w:rPr>
              <w:t>Definition of terms in relation to individuals impacted by inequality</w:t>
            </w:r>
            <w:r w:rsidRPr="00841FCF">
              <w:rPr>
                <w:rFonts w:ascii="Times New Roman" w:hAnsi="Times New Roman" w:cs="Times New Roman"/>
                <w:b/>
                <w:bCs/>
                <w:sz w:val="24"/>
                <w:szCs w:val="24"/>
                <w:lang w:val="en-GB"/>
              </w:rPr>
              <w:t> </w:t>
            </w:r>
          </w:p>
        </w:tc>
      </w:tr>
      <w:tr w:rsidR="00841FCF" w:rsidRPr="00841FCF" w14:paraId="18C80F8B" w14:textId="77777777" w:rsidTr="00F1640C">
        <w:trPr>
          <w:jc w:val="center"/>
        </w:trPr>
        <w:tc>
          <w:tcPr>
            <w:tcW w:w="1899" w:type="pct"/>
            <w:tcBorders>
              <w:top w:val="single" w:sz="4" w:space="0" w:color="7F7F7F"/>
              <w:bottom w:val="single" w:sz="4" w:space="0" w:color="7F7F7F"/>
            </w:tcBorders>
            <w:shd w:val="clear" w:color="auto" w:fill="auto"/>
            <w:tcMar>
              <w:left w:w="57" w:type="dxa"/>
              <w:right w:w="57" w:type="dxa"/>
            </w:tcMar>
          </w:tcPr>
          <w:p w14:paraId="2F96FAAE" w14:textId="77777777" w:rsidR="00841FCF" w:rsidRPr="00841FCF" w:rsidRDefault="00841FCF" w:rsidP="008036F8">
            <w:pPr>
              <w:spacing w:line="240" w:lineRule="auto"/>
              <w:contextualSpacing/>
              <w:jc w:val="both"/>
              <w:rPr>
                <w:rFonts w:ascii="Times New Roman" w:hAnsi="Times New Roman" w:cs="Times New Roman"/>
                <w:b/>
                <w:bCs/>
                <w:sz w:val="24"/>
                <w:szCs w:val="24"/>
                <w:lang w:val="en-US"/>
              </w:rPr>
            </w:pPr>
            <w:r w:rsidRPr="00841FCF">
              <w:rPr>
                <w:rFonts w:ascii="Times New Roman" w:hAnsi="Times New Roman" w:cs="Times New Roman"/>
                <w:b/>
                <w:bCs/>
                <w:i/>
                <w:iCs/>
                <w:sz w:val="24"/>
                <w:szCs w:val="24"/>
                <w:lang w:val="en-US"/>
              </w:rPr>
              <w:t>Life stage at experience (CARE framework level 1)</w:t>
            </w:r>
            <w:r w:rsidRPr="00841FCF">
              <w:rPr>
                <w:rFonts w:ascii="Times New Roman" w:hAnsi="Times New Roman" w:cs="Times New Roman"/>
                <w:b/>
                <w:bCs/>
                <w:sz w:val="24"/>
                <w:szCs w:val="24"/>
                <w:lang w:val="en-US"/>
              </w:rPr>
              <w:t xml:space="preserve"> </w:t>
            </w:r>
          </w:p>
        </w:tc>
        <w:tc>
          <w:tcPr>
            <w:tcW w:w="3101" w:type="pct"/>
            <w:tcBorders>
              <w:top w:val="single" w:sz="4" w:space="0" w:color="7F7F7F"/>
              <w:bottom w:val="single" w:sz="4" w:space="0" w:color="7F7F7F"/>
            </w:tcBorders>
            <w:shd w:val="clear" w:color="auto" w:fill="auto"/>
            <w:tcMar>
              <w:left w:w="57" w:type="dxa"/>
              <w:right w:w="57" w:type="dxa"/>
            </w:tcMar>
          </w:tcPr>
          <w:p w14:paraId="4E1BBA54" w14:textId="77777777" w:rsidR="00841FCF" w:rsidRPr="00841FCF" w:rsidRDefault="00841FCF" w:rsidP="008036F8">
            <w:pPr>
              <w:spacing w:line="240" w:lineRule="auto"/>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GB"/>
              </w:rPr>
              <w:t xml:space="preserve">At what stage of the life course did the act of inequality occur: perinatal; neonatal, infancy; childhood; adolescence; adulthood </w:t>
            </w:r>
          </w:p>
        </w:tc>
      </w:tr>
      <w:tr w:rsidR="00841FCF" w:rsidRPr="00841FCF" w14:paraId="0D648311" w14:textId="77777777" w:rsidTr="00F1640C">
        <w:trPr>
          <w:jc w:val="center"/>
        </w:trPr>
        <w:tc>
          <w:tcPr>
            <w:tcW w:w="1899" w:type="pct"/>
            <w:shd w:val="clear" w:color="auto" w:fill="auto"/>
            <w:tcMar>
              <w:left w:w="57" w:type="dxa"/>
              <w:right w:w="57" w:type="dxa"/>
            </w:tcMar>
          </w:tcPr>
          <w:p w14:paraId="4E0917F8" w14:textId="77777777" w:rsidR="00841FCF" w:rsidRPr="00841FCF" w:rsidRDefault="00841FCF" w:rsidP="008036F8">
            <w:pPr>
              <w:spacing w:line="240" w:lineRule="auto"/>
              <w:contextualSpacing/>
              <w:jc w:val="both"/>
              <w:rPr>
                <w:rFonts w:ascii="Times New Roman" w:hAnsi="Times New Roman" w:cs="Times New Roman"/>
                <w:b/>
                <w:bCs/>
                <w:sz w:val="24"/>
                <w:szCs w:val="24"/>
                <w:lang w:val="en-US"/>
              </w:rPr>
            </w:pPr>
            <w:r w:rsidRPr="00841FCF">
              <w:rPr>
                <w:rFonts w:ascii="Times New Roman" w:hAnsi="Times New Roman" w:cs="Times New Roman"/>
                <w:b/>
                <w:bCs/>
                <w:i/>
                <w:iCs/>
                <w:sz w:val="24"/>
                <w:szCs w:val="24"/>
                <w:lang w:val="en-US"/>
              </w:rPr>
              <w:t xml:space="preserve">Frequency of experience </w:t>
            </w:r>
          </w:p>
        </w:tc>
        <w:tc>
          <w:tcPr>
            <w:tcW w:w="3101" w:type="pct"/>
            <w:shd w:val="clear" w:color="auto" w:fill="auto"/>
            <w:tcMar>
              <w:left w:w="57" w:type="dxa"/>
              <w:right w:w="57" w:type="dxa"/>
            </w:tcMar>
          </w:tcPr>
          <w:p w14:paraId="4DE96214" w14:textId="77777777" w:rsidR="00841FCF" w:rsidRPr="00841FCF" w:rsidRDefault="00841FCF" w:rsidP="008036F8">
            <w:pPr>
              <w:spacing w:line="240" w:lineRule="auto"/>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GB"/>
              </w:rPr>
              <w:t>Was the act a sporadic or regular occurrence</w:t>
            </w:r>
          </w:p>
        </w:tc>
      </w:tr>
      <w:tr w:rsidR="00841FCF" w:rsidRPr="00841FCF" w14:paraId="74D04E50" w14:textId="77777777" w:rsidTr="00F1640C">
        <w:trPr>
          <w:jc w:val="center"/>
        </w:trPr>
        <w:tc>
          <w:tcPr>
            <w:tcW w:w="1899" w:type="pct"/>
            <w:tcBorders>
              <w:top w:val="single" w:sz="4" w:space="0" w:color="7F7F7F"/>
              <w:bottom w:val="single" w:sz="4" w:space="0" w:color="7F7F7F"/>
            </w:tcBorders>
            <w:shd w:val="clear" w:color="auto" w:fill="auto"/>
            <w:tcMar>
              <w:left w:w="57" w:type="dxa"/>
              <w:right w:w="57" w:type="dxa"/>
            </w:tcMar>
          </w:tcPr>
          <w:p w14:paraId="6404E8EF" w14:textId="77777777" w:rsidR="00841FCF" w:rsidRPr="00841FCF" w:rsidRDefault="00841FCF" w:rsidP="008036F8">
            <w:pPr>
              <w:spacing w:line="240" w:lineRule="auto"/>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GB"/>
              </w:rPr>
              <w:t xml:space="preserve">Intensity of experience </w:t>
            </w:r>
          </w:p>
        </w:tc>
        <w:tc>
          <w:tcPr>
            <w:tcW w:w="3101" w:type="pct"/>
            <w:tcBorders>
              <w:top w:val="single" w:sz="4" w:space="0" w:color="7F7F7F"/>
              <w:bottom w:val="single" w:sz="4" w:space="0" w:color="7F7F7F"/>
            </w:tcBorders>
            <w:shd w:val="clear" w:color="auto" w:fill="auto"/>
            <w:tcMar>
              <w:left w:w="57" w:type="dxa"/>
              <w:right w:w="57" w:type="dxa"/>
            </w:tcMar>
          </w:tcPr>
          <w:p w14:paraId="2B68F6C9" w14:textId="77777777" w:rsidR="00841FCF" w:rsidRPr="00841FCF" w:rsidRDefault="00841FCF" w:rsidP="008036F8">
            <w:pPr>
              <w:spacing w:line="240" w:lineRule="auto"/>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GB"/>
              </w:rPr>
              <w:t>How severely was the individual affected</w:t>
            </w:r>
          </w:p>
        </w:tc>
      </w:tr>
      <w:tr w:rsidR="00841FCF" w:rsidRPr="00841FCF" w14:paraId="517316DB" w14:textId="77777777" w:rsidTr="00F1640C">
        <w:trPr>
          <w:jc w:val="center"/>
        </w:trPr>
        <w:tc>
          <w:tcPr>
            <w:tcW w:w="1899" w:type="pct"/>
            <w:shd w:val="clear" w:color="auto" w:fill="auto"/>
            <w:tcMar>
              <w:left w:w="57" w:type="dxa"/>
              <w:right w:w="57" w:type="dxa"/>
            </w:tcMar>
          </w:tcPr>
          <w:p w14:paraId="76595655" w14:textId="77777777" w:rsidR="00841FCF" w:rsidRPr="00841FCF" w:rsidRDefault="00841FCF" w:rsidP="008036F8">
            <w:pPr>
              <w:spacing w:line="240" w:lineRule="auto"/>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GB"/>
              </w:rPr>
              <w:t xml:space="preserve">Duration of experience </w:t>
            </w:r>
          </w:p>
        </w:tc>
        <w:tc>
          <w:tcPr>
            <w:tcW w:w="3101" w:type="pct"/>
            <w:shd w:val="clear" w:color="auto" w:fill="auto"/>
            <w:tcMar>
              <w:left w:w="57" w:type="dxa"/>
              <w:right w:w="57" w:type="dxa"/>
            </w:tcMar>
          </w:tcPr>
          <w:p w14:paraId="5C520412" w14:textId="77777777" w:rsidR="00841FCF" w:rsidRPr="00841FCF" w:rsidRDefault="00841FCF" w:rsidP="008036F8">
            <w:pPr>
              <w:spacing w:line="240" w:lineRule="auto"/>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GB"/>
              </w:rPr>
              <w:t>How long was the act of inequality experienced</w:t>
            </w:r>
          </w:p>
        </w:tc>
      </w:tr>
      <w:tr w:rsidR="00841FCF" w:rsidRPr="00841FCF" w14:paraId="7F190252" w14:textId="77777777" w:rsidTr="00F1640C">
        <w:trPr>
          <w:jc w:val="center"/>
        </w:trPr>
        <w:tc>
          <w:tcPr>
            <w:tcW w:w="1899" w:type="pct"/>
            <w:tcBorders>
              <w:top w:val="single" w:sz="4" w:space="0" w:color="7F7F7F"/>
              <w:bottom w:val="single" w:sz="4" w:space="0" w:color="7F7F7F"/>
            </w:tcBorders>
            <w:shd w:val="clear" w:color="auto" w:fill="auto"/>
            <w:tcMar>
              <w:left w:w="57" w:type="dxa"/>
              <w:right w:w="57" w:type="dxa"/>
            </w:tcMar>
          </w:tcPr>
          <w:p w14:paraId="4740B41D" w14:textId="77777777" w:rsidR="00841FCF" w:rsidRPr="00841FCF" w:rsidRDefault="00841FCF" w:rsidP="008036F8">
            <w:pPr>
              <w:spacing w:line="240" w:lineRule="auto"/>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GB"/>
              </w:rPr>
              <w:t>Effect of experience on the individual level (CARE framework levels 2</w:t>
            </w:r>
            <w:r w:rsidRPr="00841FCF">
              <w:rPr>
                <w:rFonts w:ascii="Times New Roman" w:hAnsi="Times New Roman" w:cs="Times New Roman"/>
                <w:b/>
                <w:bCs/>
                <w:i/>
                <w:sz w:val="24"/>
                <w:szCs w:val="24"/>
                <w:lang w:val="en-GB"/>
              </w:rPr>
              <w:t xml:space="preserve"> and 3</w:t>
            </w:r>
            <w:r w:rsidRPr="00841FCF">
              <w:rPr>
                <w:rFonts w:ascii="Times New Roman" w:hAnsi="Times New Roman" w:cs="Times New Roman"/>
                <w:b/>
                <w:bCs/>
                <w:i/>
                <w:iCs/>
                <w:sz w:val="24"/>
                <w:szCs w:val="24"/>
                <w:lang w:val="en-GB"/>
              </w:rPr>
              <w:t>)</w:t>
            </w:r>
          </w:p>
        </w:tc>
        <w:tc>
          <w:tcPr>
            <w:tcW w:w="3101" w:type="pct"/>
            <w:tcBorders>
              <w:top w:val="single" w:sz="4" w:space="0" w:color="7F7F7F"/>
              <w:bottom w:val="single" w:sz="4" w:space="0" w:color="7F7F7F"/>
            </w:tcBorders>
            <w:shd w:val="clear" w:color="auto" w:fill="auto"/>
            <w:tcMar>
              <w:left w:w="57" w:type="dxa"/>
              <w:right w:w="57" w:type="dxa"/>
            </w:tcMar>
          </w:tcPr>
          <w:p w14:paraId="184A8D3C" w14:textId="77777777" w:rsidR="00841FCF" w:rsidRPr="00841FCF" w:rsidRDefault="00841FCF" w:rsidP="008036F8">
            <w:pPr>
              <w:spacing w:line="240" w:lineRule="auto"/>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GB"/>
              </w:rPr>
              <w:t>How did the experience of inequality adversely impact plantation-based individuals' physiological, behavioural and/or psychological health outcomes</w:t>
            </w:r>
          </w:p>
        </w:tc>
      </w:tr>
    </w:tbl>
    <w:bookmarkEnd w:id="12"/>
    <w:p w14:paraId="3CFF3124" w14:textId="196ED8D2" w:rsidR="00AD3CC7" w:rsidRPr="00E47A0F" w:rsidRDefault="00D5687E" w:rsidP="008036F8">
      <w:pPr>
        <w:pStyle w:val="Heading1"/>
        <w:spacing w:line="360" w:lineRule="auto"/>
        <w:jc w:val="both"/>
        <w:rPr>
          <w:rFonts w:ascii="Times New Roman" w:hAnsi="Times New Roman" w:cs="Times New Roman"/>
          <w:sz w:val="24"/>
          <w:szCs w:val="24"/>
        </w:rPr>
      </w:pPr>
      <w:r>
        <w:rPr>
          <w:rFonts w:ascii="Times New Roman" w:hAnsi="Times New Roman" w:cs="Times New Roman"/>
          <w:sz w:val="24"/>
          <w:szCs w:val="24"/>
        </w:rPr>
        <w:t>Analysis</w:t>
      </w:r>
      <w:r w:rsidR="00774DE6" w:rsidRPr="00E47A0F">
        <w:rPr>
          <w:rFonts w:ascii="Times New Roman" w:hAnsi="Times New Roman" w:cs="Times New Roman"/>
          <w:sz w:val="24"/>
          <w:szCs w:val="24"/>
        </w:rPr>
        <w:t xml:space="preserve"> of s</w:t>
      </w:r>
      <w:r w:rsidR="00E61E5E" w:rsidRPr="00E47A0F">
        <w:rPr>
          <w:rFonts w:ascii="Times New Roman" w:hAnsi="Times New Roman" w:cs="Times New Roman"/>
          <w:sz w:val="24"/>
          <w:szCs w:val="24"/>
        </w:rPr>
        <w:t>trategies mobilized in r</w:t>
      </w:r>
      <w:r w:rsidR="00AD3CC7" w:rsidRPr="00E47A0F">
        <w:rPr>
          <w:rFonts w:ascii="Times New Roman" w:hAnsi="Times New Roman" w:cs="Times New Roman"/>
          <w:sz w:val="24"/>
          <w:szCs w:val="24"/>
        </w:rPr>
        <w:t>esponse</w:t>
      </w:r>
      <w:r w:rsidR="00E61E5E" w:rsidRPr="00E47A0F">
        <w:rPr>
          <w:rFonts w:ascii="Times New Roman" w:hAnsi="Times New Roman" w:cs="Times New Roman"/>
          <w:sz w:val="24"/>
          <w:szCs w:val="24"/>
        </w:rPr>
        <w:t xml:space="preserve"> to </w:t>
      </w:r>
      <w:r w:rsidR="00AD3CC7" w:rsidRPr="00E47A0F">
        <w:rPr>
          <w:rFonts w:ascii="Times New Roman" w:hAnsi="Times New Roman" w:cs="Times New Roman"/>
          <w:sz w:val="24"/>
          <w:szCs w:val="24"/>
        </w:rPr>
        <w:t>inequality</w:t>
      </w:r>
    </w:p>
    <w:p w14:paraId="4F17D9B7" w14:textId="354504EC" w:rsidR="002A5F94" w:rsidRPr="00E47A0F" w:rsidRDefault="002A5F94" w:rsidP="008036F8">
      <w:pPr>
        <w:spacing w:line="360" w:lineRule="auto"/>
        <w:jc w:val="both"/>
        <w:rPr>
          <w:rFonts w:ascii="Times New Roman" w:hAnsi="Times New Roman" w:cs="Times New Roman"/>
          <w:sz w:val="24"/>
          <w:szCs w:val="24"/>
        </w:rPr>
      </w:pPr>
      <w:bookmarkStart w:id="13" w:name="_Hlk10207882"/>
      <w:r w:rsidRPr="00E47A0F">
        <w:rPr>
          <w:rFonts w:ascii="Times New Roman" w:hAnsi="Times New Roman" w:cs="Times New Roman"/>
          <w:sz w:val="24"/>
          <w:szCs w:val="24"/>
        </w:rPr>
        <w:t xml:space="preserve">In </w:t>
      </w:r>
      <w:r w:rsidR="00462661" w:rsidRPr="00E47A0F">
        <w:rPr>
          <w:rFonts w:ascii="Times New Roman" w:hAnsi="Times New Roman" w:cs="Times New Roman"/>
          <w:sz w:val="24"/>
          <w:szCs w:val="24"/>
        </w:rPr>
        <w:t>addition</w:t>
      </w:r>
      <w:r w:rsidRPr="00E47A0F">
        <w:rPr>
          <w:rFonts w:ascii="Times New Roman" w:hAnsi="Times New Roman" w:cs="Times New Roman"/>
          <w:sz w:val="24"/>
          <w:szCs w:val="24"/>
        </w:rPr>
        <w:t xml:space="preserve"> to the causal factors and consequences, responses of the plantation-based individuals to acts of inequ</w:t>
      </w:r>
      <w:r w:rsidRPr="00E47A0F">
        <w:rPr>
          <w:rStyle w:val="normaltextrun"/>
          <w:rFonts w:ascii="Times New Roman" w:hAnsi="Times New Roman" w:cs="Times New Roman"/>
          <w:color w:val="000000"/>
          <w:sz w:val="24"/>
          <w:szCs w:val="24"/>
          <w:shd w:val="clear" w:color="auto" w:fill="FFFFFF"/>
        </w:rPr>
        <w:t>al</w:t>
      </w:r>
      <w:r w:rsidRPr="00E47A0F">
        <w:rPr>
          <w:rFonts w:ascii="Times New Roman" w:hAnsi="Times New Roman" w:cs="Times New Roman"/>
          <w:sz w:val="24"/>
          <w:szCs w:val="24"/>
        </w:rPr>
        <w:t xml:space="preserve">ities can be similarly analysed, creating a dynamic map of cause, </w:t>
      </w:r>
      <w:r w:rsidRPr="00E47A0F">
        <w:rPr>
          <w:rFonts w:ascii="Times New Roman" w:hAnsi="Times New Roman" w:cs="Times New Roman"/>
          <w:sz w:val="24"/>
          <w:szCs w:val="24"/>
        </w:rPr>
        <w:lastRenderedPageBreak/>
        <w:t>effect and response relationships across institutional-level factors, plantation-level structures, and the inter- and intra-level factors on the plantation.</w:t>
      </w:r>
    </w:p>
    <w:bookmarkEnd w:id="13"/>
    <w:p w14:paraId="0E533EFA" w14:textId="1DFA5C0F" w:rsidR="00841FCF" w:rsidRPr="00841FCF" w:rsidRDefault="00AD3CC7" w:rsidP="008036F8">
      <w:pPr>
        <w:spacing w:line="360" w:lineRule="auto"/>
        <w:ind w:firstLine="360"/>
        <w:jc w:val="both"/>
        <w:rPr>
          <w:rFonts w:ascii="Times New Roman" w:hAnsi="Times New Roman" w:cs="Times New Roman"/>
          <w:sz w:val="24"/>
          <w:szCs w:val="24"/>
        </w:rPr>
      </w:pPr>
      <w:r w:rsidRPr="00E47A0F">
        <w:rPr>
          <w:rFonts w:ascii="Times New Roman" w:hAnsi="Times New Roman" w:cs="Times New Roman"/>
          <w:sz w:val="24"/>
          <w:szCs w:val="24"/>
        </w:rPr>
        <w:t>The response of plantation-based individuals to act of inequality can be analysed in relation to:</w:t>
      </w:r>
    </w:p>
    <w:p w14:paraId="2AA3B432" w14:textId="77777777" w:rsidR="00841FCF" w:rsidRPr="00841FCF" w:rsidRDefault="00841FCF" w:rsidP="008036F8">
      <w:pPr>
        <w:spacing w:line="360" w:lineRule="auto"/>
        <w:ind w:firstLine="360"/>
        <w:jc w:val="both"/>
        <w:rPr>
          <w:rFonts w:ascii="Times New Roman" w:hAnsi="Times New Roman" w:cs="Times New Roman"/>
          <w:b/>
          <w:sz w:val="24"/>
          <w:szCs w:val="24"/>
          <w:lang w:val="en-US"/>
        </w:rPr>
      </w:pPr>
      <w:r w:rsidRPr="00841FCF">
        <w:rPr>
          <w:rFonts w:ascii="Times New Roman" w:hAnsi="Times New Roman" w:cs="Times New Roman"/>
          <w:b/>
          <w:sz w:val="24"/>
          <w:szCs w:val="24"/>
          <w:lang w:val="en-US"/>
        </w:rPr>
        <w:t>Table 3: Analysing response to inequity through the CARE framework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6686"/>
      </w:tblGrid>
      <w:tr w:rsidR="00841FCF" w:rsidRPr="00841FCF" w14:paraId="173F57A2" w14:textId="77777777" w:rsidTr="00F1640C">
        <w:trPr>
          <w:jc w:val="center"/>
        </w:trPr>
        <w:tc>
          <w:tcPr>
            <w:tcW w:w="1292" w:type="pct"/>
            <w:tcBorders>
              <w:bottom w:val="single" w:sz="4" w:space="0" w:color="7F7F7F"/>
            </w:tcBorders>
            <w:shd w:val="clear" w:color="auto" w:fill="auto"/>
            <w:hideMark/>
          </w:tcPr>
          <w:p w14:paraId="65449E8E" w14:textId="77777777" w:rsidR="00841FCF" w:rsidRPr="00841FCF" w:rsidRDefault="00841FCF" w:rsidP="008036F8">
            <w:pPr>
              <w:spacing w:line="240" w:lineRule="auto"/>
              <w:ind w:firstLine="360"/>
              <w:contextualSpacing/>
              <w:jc w:val="both"/>
              <w:rPr>
                <w:rFonts w:ascii="Times New Roman" w:hAnsi="Times New Roman" w:cs="Times New Roman"/>
                <w:b/>
                <w:bCs/>
                <w:sz w:val="24"/>
                <w:szCs w:val="24"/>
                <w:lang w:val="en-GB"/>
              </w:rPr>
            </w:pPr>
            <w:r w:rsidRPr="00841FCF">
              <w:rPr>
                <w:rFonts w:ascii="Times New Roman" w:hAnsi="Times New Roman" w:cs="Times New Roman"/>
                <w:b/>
                <w:bCs/>
                <w:sz w:val="24"/>
                <w:szCs w:val="24"/>
                <w:lang w:val="en-GB"/>
              </w:rPr>
              <w:t>Analytical categories</w:t>
            </w:r>
          </w:p>
        </w:tc>
        <w:tc>
          <w:tcPr>
            <w:tcW w:w="3708" w:type="pct"/>
            <w:tcBorders>
              <w:bottom w:val="single" w:sz="4" w:space="0" w:color="7F7F7F"/>
            </w:tcBorders>
            <w:shd w:val="clear" w:color="auto" w:fill="auto"/>
            <w:hideMark/>
          </w:tcPr>
          <w:p w14:paraId="148396DD" w14:textId="77777777" w:rsidR="00841FCF" w:rsidRPr="00841FCF" w:rsidRDefault="00841FCF" w:rsidP="008036F8">
            <w:pPr>
              <w:spacing w:line="240" w:lineRule="auto"/>
              <w:ind w:firstLine="360"/>
              <w:contextualSpacing/>
              <w:jc w:val="both"/>
              <w:rPr>
                <w:rFonts w:ascii="Times New Roman" w:hAnsi="Times New Roman" w:cs="Times New Roman"/>
                <w:b/>
                <w:bCs/>
                <w:sz w:val="24"/>
                <w:szCs w:val="24"/>
                <w:lang w:val="en-GB"/>
              </w:rPr>
            </w:pPr>
            <w:r w:rsidRPr="00841FCF">
              <w:rPr>
                <w:rFonts w:ascii="Times New Roman" w:hAnsi="Times New Roman" w:cs="Times New Roman"/>
                <w:b/>
                <w:bCs/>
                <w:sz w:val="24"/>
                <w:szCs w:val="24"/>
                <w:lang w:val="en-US"/>
              </w:rPr>
              <w:t>Definition in relation to responses to inequity</w:t>
            </w:r>
            <w:r w:rsidRPr="00841FCF">
              <w:rPr>
                <w:rFonts w:ascii="Times New Roman" w:hAnsi="Times New Roman" w:cs="Times New Roman"/>
                <w:b/>
                <w:bCs/>
                <w:sz w:val="24"/>
                <w:szCs w:val="24"/>
                <w:lang w:val="en-GB"/>
              </w:rPr>
              <w:t> </w:t>
            </w:r>
          </w:p>
        </w:tc>
      </w:tr>
      <w:tr w:rsidR="00841FCF" w:rsidRPr="00841FCF" w14:paraId="05E36C10" w14:textId="77777777" w:rsidTr="00F1640C">
        <w:trPr>
          <w:jc w:val="center"/>
        </w:trPr>
        <w:tc>
          <w:tcPr>
            <w:tcW w:w="1292" w:type="pct"/>
            <w:tcBorders>
              <w:top w:val="single" w:sz="4" w:space="0" w:color="7F7F7F"/>
              <w:bottom w:val="single" w:sz="4" w:space="0" w:color="7F7F7F"/>
            </w:tcBorders>
            <w:shd w:val="clear" w:color="auto" w:fill="auto"/>
            <w:hideMark/>
          </w:tcPr>
          <w:p w14:paraId="74118FEE" w14:textId="77777777" w:rsidR="00841FCF" w:rsidRPr="00841FCF" w:rsidRDefault="00841FCF" w:rsidP="008036F8">
            <w:pPr>
              <w:spacing w:line="240" w:lineRule="auto"/>
              <w:ind w:firstLine="360"/>
              <w:contextualSpacing/>
              <w:jc w:val="both"/>
              <w:rPr>
                <w:rFonts w:ascii="Times New Roman" w:hAnsi="Times New Roman" w:cs="Times New Roman"/>
                <w:b/>
                <w:bCs/>
                <w:i/>
                <w:iCs/>
                <w:sz w:val="24"/>
                <w:szCs w:val="24"/>
                <w:lang w:val="en-US"/>
              </w:rPr>
            </w:pPr>
            <w:r w:rsidRPr="00841FCF">
              <w:rPr>
                <w:rFonts w:ascii="Times New Roman" w:hAnsi="Times New Roman" w:cs="Times New Roman"/>
                <w:b/>
                <w:bCs/>
                <w:i/>
                <w:iCs/>
                <w:sz w:val="24"/>
                <w:szCs w:val="24"/>
                <w:lang w:val="en-US"/>
              </w:rPr>
              <w:t>Agency </w:t>
            </w:r>
          </w:p>
          <w:p w14:paraId="60CB927F" w14:textId="77777777" w:rsidR="00841FCF" w:rsidRPr="00841FCF" w:rsidRDefault="00841FCF" w:rsidP="008036F8">
            <w:pPr>
              <w:spacing w:line="240" w:lineRule="auto"/>
              <w:ind w:firstLine="360"/>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US"/>
              </w:rPr>
              <w:t>attribution</w:t>
            </w:r>
            <w:r w:rsidRPr="00841FCF">
              <w:rPr>
                <w:rFonts w:ascii="Times New Roman" w:hAnsi="Times New Roman" w:cs="Times New Roman"/>
                <w:b/>
                <w:bCs/>
                <w:sz w:val="24"/>
                <w:szCs w:val="24"/>
                <w:lang w:val="en-GB"/>
              </w:rPr>
              <w:t> </w:t>
            </w:r>
          </w:p>
        </w:tc>
        <w:tc>
          <w:tcPr>
            <w:tcW w:w="3708" w:type="pct"/>
            <w:tcBorders>
              <w:top w:val="single" w:sz="4" w:space="0" w:color="7F7F7F"/>
              <w:bottom w:val="single" w:sz="4" w:space="0" w:color="7F7F7F"/>
            </w:tcBorders>
            <w:shd w:val="clear" w:color="auto" w:fill="auto"/>
            <w:hideMark/>
          </w:tcPr>
          <w:p w14:paraId="7CC007D8" w14:textId="77777777" w:rsidR="00841FCF" w:rsidRPr="00841FCF" w:rsidRDefault="00841FCF" w:rsidP="008036F8">
            <w:pPr>
              <w:spacing w:line="240" w:lineRule="auto"/>
              <w:ind w:firstLine="360"/>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US"/>
              </w:rPr>
              <w:t xml:space="preserve">The agent directly associated with the response to inequality. </w:t>
            </w:r>
            <w:r w:rsidRPr="00841FCF">
              <w:rPr>
                <w:rFonts w:ascii="Times New Roman" w:hAnsi="Times New Roman" w:cs="Times New Roman"/>
                <w:sz w:val="24"/>
                <w:szCs w:val="24"/>
                <w:lang w:val="en-GB"/>
              </w:rPr>
              <w:t xml:space="preserve">For instance: </w:t>
            </w:r>
          </w:p>
          <w:p w14:paraId="6DF9F761" w14:textId="77777777" w:rsidR="00841FCF" w:rsidRPr="00841FCF" w:rsidRDefault="00841FCF" w:rsidP="008036F8">
            <w:pPr>
              <w:numPr>
                <w:ilvl w:val="0"/>
                <w:numId w:val="7"/>
              </w:numPr>
              <w:spacing w:line="240" w:lineRule="auto"/>
              <w:contextualSpacing/>
              <w:jc w:val="both"/>
              <w:rPr>
                <w:rFonts w:ascii="Times New Roman" w:hAnsi="Times New Roman" w:cs="Times New Roman"/>
                <w:sz w:val="24"/>
                <w:szCs w:val="24"/>
                <w:lang w:val="en-AU"/>
              </w:rPr>
            </w:pPr>
            <w:r w:rsidRPr="00841FCF">
              <w:rPr>
                <w:rFonts w:ascii="Times New Roman" w:hAnsi="Times New Roman" w:cs="Times New Roman"/>
                <w:sz w:val="24"/>
                <w:szCs w:val="24"/>
                <w:lang w:val="en-AU"/>
              </w:rPr>
              <w:t xml:space="preserve">institutions (such as, government, judiciary), </w:t>
            </w:r>
          </w:p>
          <w:p w14:paraId="299445A4" w14:textId="77777777" w:rsidR="00841FCF" w:rsidRPr="00841FCF" w:rsidRDefault="00841FCF" w:rsidP="008036F8">
            <w:pPr>
              <w:numPr>
                <w:ilvl w:val="0"/>
                <w:numId w:val="7"/>
              </w:numPr>
              <w:spacing w:line="240" w:lineRule="auto"/>
              <w:contextualSpacing/>
              <w:jc w:val="both"/>
              <w:rPr>
                <w:rFonts w:ascii="Times New Roman" w:hAnsi="Times New Roman" w:cs="Times New Roman"/>
                <w:sz w:val="24"/>
                <w:szCs w:val="24"/>
                <w:lang w:val="en-AU"/>
              </w:rPr>
            </w:pPr>
            <w:r w:rsidRPr="00841FCF">
              <w:rPr>
                <w:rFonts w:ascii="Times New Roman" w:hAnsi="Times New Roman" w:cs="Times New Roman"/>
                <w:sz w:val="24"/>
                <w:szCs w:val="24"/>
                <w:lang w:val="en-AU"/>
              </w:rPr>
              <w:t xml:space="preserve">or individuals: </w:t>
            </w:r>
          </w:p>
          <w:p w14:paraId="384072BB" w14:textId="77777777" w:rsidR="00841FCF" w:rsidRPr="00841FCF" w:rsidRDefault="00841FCF" w:rsidP="008036F8">
            <w:pPr>
              <w:numPr>
                <w:ilvl w:val="0"/>
                <w:numId w:val="8"/>
              </w:numPr>
              <w:spacing w:line="240" w:lineRule="auto"/>
              <w:contextualSpacing/>
              <w:jc w:val="both"/>
              <w:rPr>
                <w:rFonts w:ascii="Times New Roman" w:hAnsi="Times New Roman" w:cs="Times New Roman"/>
                <w:sz w:val="24"/>
                <w:szCs w:val="24"/>
                <w:lang w:val="en-AU"/>
              </w:rPr>
            </w:pPr>
            <w:r w:rsidRPr="00841FCF">
              <w:rPr>
                <w:rFonts w:ascii="Times New Roman" w:hAnsi="Times New Roman" w:cs="Times New Roman"/>
                <w:sz w:val="24"/>
                <w:szCs w:val="24"/>
                <w:lang w:val="en-AU"/>
              </w:rPr>
              <w:t xml:space="preserve">colonial officers (such as, AGI, District officer), </w:t>
            </w:r>
          </w:p>
          <w:p w14:paraId="1B7E34B8" w14:textId="77777777" w:rsidR="00841FCF" w:rsidRPr="00841FCF" w:rsidRDefault="00841FCF" w:rsidP="008036F8">
            <w:pPr>
              <w:numPr>
                <w:ilvl w:val="0"/>
                <w:numId w:val="8"/>
              </w:numPr>
              <w:spacing w:line="240" w:lineRule="auto"/>
              <w:contextualSpacing/>
              <w:jc w:val="both"/>
              <w:rPr>
                <w:rFonts w:ascii="Times New Roman" w:hAnsi="Times New Roman" w:cs="Times New Roman"/>
                <w:sz w:val="24"/>
                <w:szCs w:val="24"/>
                <w:lang w:val="en-AU"/>
              </w:rPr>
            </w:pPr>
            <w:r w:rsidRPr="00841FCF">
              <w:rPr>
                <w:rFonts w:ascii="Times New Roman" w:hAnsi="Times New Roman" w:cs="Times New Roman"/>
                <w:sz w:val="24"/>
                <w:szCs w:val="24"/>
                <w:lang w:val="en-AU"/>
              </w:rPr>
              <w:t xml:space="preserve">plantation management (plantation owners, managers, overseers, sirdars), </w:t>
            </w:r>
          </w:p>
          <w:p w14:paraId="53B946F1" w14:textId="77777777" w:rsidR="00841FCF" w:rsidRPr="00841FCF" w:rsidRDefault="00841FCF" w:rsidP="008036F8">
            <w:pPr>
              <w:numPr>
                <w:ilvl w:val="0"/>
                <w:numId w:val="8"/>
              </w:numPr>
              <w:spacing w:line="240" w:lineRule="auto"/>
              <w:contextualSpacing/>
              <w:jc w:val="both"/>
              <w:rPr>
                <w:rFonts w:ascii="Times New Roman" w:hAnsi="Times New Roman" w:cs="Times New Roman"/>
                <w:sz w:val="24"/>
                <w:szCs w:val="24"/>
                <w:lang w:val="en-AU"/>
              </w:rPr>
            </w:pPr>
            <w:r w:rsidRPr="00841FCF">
              <w:rPr>
                <w:rFonts w:ascii="Times New Roman" w:hAnsi="Times New Roman" w:cs="Times New Roman"/>
                <w:sz w:val="24"/>
                <w:szCs w:val="24"/>
                <w:lang w:val="en-AU"/>
              </w:rPr>
              <w:t xml:space="preserve">and individuals living and working on the plantations (labourers, infants and children) </w:t>
            </w:r>
          </w:p>
        </w:tc>
      </w:tr>
      <w:tr w:rsidR="00841FCF" w:rsidRPr="00841FCF" w14:paraId="79303CA4" w14:textId="77777777" w:rsidTr="00F1640C">
        <w:trPr>
          <w:jc w:val="center"/>
        </w:trPr>
        <w:tc>
          <w:tcPr>
            <w:tcW w:w="1292" w:type="pct"/>
            <w:shd w:val="clear" w:color="auto" w:fill="auto"/>
            <w:hideMark/>
          </w:tcPr>
          <w:p w14:paraId="00B5537F" w14:textId="77777777" w:rsidR="00841FCF" w:rsidRPr="00841FCF" w:rsidRDefault="00841FCF" w:rsidP="008036F8">
            <w:pPr>
              <w:spacing w:line="240" w:lineRule="auto"/>
              <w:ind w:firstLine="360"/>
              <w:contextualSpacing/>
              <w:jc w:val="both"/>
              <w:rPr>
                <w:rFonts w:ascii="Times New Roman" w:hAnsi="Times New Roman" w:cs="Times New Roman"/>
                <w:b/>
                <w:bCs/>
                <w:i/>
                <w:iCs/>
                <w:sz w:val="24"/>
                <w:szCs w:val="24"/>
                <w:lang w:val="en-US"/>
              </w:rPr>
            </w:pPr>
            <w:r w:rsidRPr="00841FCF">
              <w:rPr>
                <w:rFonts w:ascii="Times New Roman" w:hAnsi="Times New Roman" w:cs="Times New Roman"/>
                <w:b/>
                <w:bCs/>
                <w:i/>
                <w:iCs/>
                <w:sz w:val="24"/>
                <w:szCs w:val="24"/>
                <w:lang w:val="en-US"/>
              </w:rPr>
              <w:t xml:space="preserve">Context </w:t>
            </w:r>
          </w:p>
          <w:p w14:paraId="4750CCA9" w14:textId="77777777" w:rsidR="00841FCF" w:rsidRPr="00841FCF" w:rsidRDefault="00841FCF" w:rsidP="008036F8">
            <w:pPr>
              <w:spacing w:line="240" w:lineRule="auto"/>
              <w:ind w:firstLine="360"/>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US"/>
              </w:rPr>
              <w:t>(CARE framework level 1)</w:t>
            </w:r>
            <w:r w:rsidRPr="00841FCF">
              <w:rPr>
                <w:rFonts w:ascii="Times New Roman" w:hAnsi="Times New Roman" w:cs="Times New Roman"/>
                <w:b/>
                <w:bCs/>
                <w:sz w:val="24"/>
                <w:szCs w:val="24"/>
                <w:lang w:val="en-GB"/>
              </w:rPr>
              <w:t> </w:t>
            </w:r>
          </w:p>
        </w:tc>
        <w:tc>
          <w:tcPr>
            <w:tcW w:w="3708" w:type="pct"/>
            <w:shd w:val="clear" w:color="auto" w:fill="auto"/>
            <w:hideMark/>
          </w:tcPr>
          <w:p w14:paraId="01C8389B" w14:textId="77777777" w:rsidR="00841FCF" w:rsidRPr="00841FCF" w:rsidRDefault="00841FCF" w:rsidP="008036F8">
            <w:pPr>
              <w:spacing w:line="240" w:lineRule="auto"/>
              <w:ind w:firstLine="360"/>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US"/>
              </w:rPr>
              <w:t xml:space="preserve">Situated manifestation of the response to inequitable act: </w:t>
            </w:r>
            <w:r w:rsidRPr="00841FCF">
              <w:rPr>
                <w:rFonts w:ascii="Times New Roman" w:hAnsi="Times New Roman" w:cs="Times New Roman"/>
                <w:sz w:val="24"/>
                <w:szCs w:val="24"/>
                <w:lang w:val="en-GB"/>
              </w:rPr>
              <w:t xml:space="preserve">Was it, for instance, in an individualized, interpersonal, institutional, community, or structural context </w:t>
            </w:r>
          </w:p>
        </w:tc>
      </w:tr>
      <w:tr w:rsidR="00841FCF" w:rsidRPr="00841FCF" w14:paraId="7681EA19" w14:textId="77777777" w:rsidTr="00F1640C">
        <w:trPr>
          <w:jc w:val="center"/>
        </w:trPr>
        <w:tc>
          <w:tcPr>
            <w:tcW w:w="1292" w:type="pct"/>
            <w:tcBorders>
              <w:top w:val="single" w:sz="4" w:space="0" w:color="7F7F7F"/>
              <w:bottom w:val="single" w:sz="4" w:space="0" w:color="7F7F7F"/>
            </w:tcBorders>
            <w:shd w:val="clear" w:color="auto" w:fill="auto"/>
            <w:hideMark/>
          </w:tcPr>
          <w:p w14:paraId="4A935179" w14:textId="77777777" w:rsidR="00841FCF" w:rsidRPr="00841FCF" w:rsidRDefault="00841FCF" w:rsidP="008036F8">
            <w:pPr>
              <w:spacing w:line="240" w:lineRule="auto"/>
              <w:ind w:firstLine="360"/>
              <w:contextualSpacing/>
              <w:jc w:val="both"/>
              <w:rPr>
                <w:rFonts w:ascii="Times New Roman" w:hAnsi="Times New Roman" w:cs="Times New Roman"/>
                <w:b/>
                <w:bCs/>
                <w:i/>
                <w:iCs/>
                <w:sz w:val="24"/>
                <w:szCs w:val="24"/>
                <w:lang w:val="en-US"/>
              </w:rPr>
            </w:pPr>
            <w:r w:rsidRPr="00841FCF">
              <w:rPr>
                <w:rFonts w:ascii="Times New Roman" w:hAnsi="Times New Roman" w:cs="Times New Roman"/>
                <w:b/>
                <w:bCs/>
                <w:i/>
                <w:iCs/>
                <w:sz w:val="24"/>
                <w:szCs w:val="24"/>
                <w:lang w:val="en-US"/>
              </w:rPr>
              <w:t>Expression</w:t>
            </w:r>
          </w:p>
          <w:p w14:paraId="10A95D1C" w14:textId="77777777" w:rsidR="00841FCF" w:rsidRPr="00841FCF" w:rsidRDefault="00841FCF" w:rsidP="008036F8">
            <w:pPr>
              <w:spacing w:line="240" w:lineRule="auto"/>
              <w:ind w:firstLine="360"/>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US"/>
              </w:rPr>
              <w:t>(CARE framework level 2)</w:t>
            </w:r>
            <w:r w:rsidRPr="00841FCF">
              <w:rPr>
                <w:rFonts w:ascii="Times New Roman" w:hAnsi="Times New Roman" w:cs="Times New Roman"/>
                <w:b/>
                <w:bCs/>
                <w:sz w:val="24"/>
                <w:szCs w:val="24"/>
                <w:lang w:val="en-GB"/>
              </w:rPr>
              <w:t xml:space="preserve"> </w:t>
            </w:r>
          </w:p>
        </w:tc>
        <w:tc>
          <w:tcPr>
            <w:tcW w:w="3708" w:type="pct"/>
            <w:tcBorders>
              <w:top w:val="single" w:sz="4" w:space="0" w:color="7F7F7F"/>
              <w:bottom w:val="single" w:sz="4" w:space="0" w:color="7F7F7F"/>
            </w:tcBorders>
            <w:shd w:val="clear" w:color="auto" w:fill="auto"/>
            <w:hideMark/>
          </w:tcPr>
          <w:p w14:paraId="4C65BFF5" w14:textId="77777777" w:rsidR="00841FCF" w:rsidRPr="00841FCF" w:rsidRDefault="00841FCF" w:rsidP="008036F8">
            <w:pPr>
              <w:spacing w:line="240" w:lineRule="auto"/>
              <w:ind w:firstLine="360"/>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US"/>
              </w:rPr>
              <w:t xml:space="preserve">Manner in which the response to inequitable act was conducted. </w:t>
            </w:r>
            <w:r w:rsidRPr="00841FCF">
              <w:rPr>
                <w:rFonts w:ascii="Times New Roman" w:hAnsi="Times New Roman" w:cs="Times New Roman"/>
                <w:sz w:val="24"/>
                <w:szCs w:val="24"/>
                <w:lang w:val="en-GB"/>
              </w:rPr>
              <w:t>For instance, was it through regulations, laws, legalized punishment, physical, verbal, psychological or sexual acts of violence </w:t>
            </w:r>
          </w:p>
        </w:tc>
      </w:tr>
      <w:tr w:rsidR="00841FCF" w:rsidRPr="00841FCF" w14:paraId="72DDCC04" w14:textId="77777777" w:rsidTr="00F1640C">
        <w:trPr>
          <w:jc w:val="center"/>
        </w:trPr>
        <w:tc>
          <w:tcPr>
            <w:tcW w:w="1292" w:type="pct"/>
            <w:shd w:val="clear" w:color="auto" w:fill="auto"/>
            <w:hideMark/>
          </w:tcPr>
          <w:p w14:paraId="70FEC7F3" w14:textId="77777777" w:rsidR="00841FCF" w:rsidRPr="00841FCF" w:rsidRDefault="00841FCF" w:rsidP="008036F8">
            <w:pPr>
              <w:spacing w:line="240" w:lineRule="auto"/>
              <w:ind w:firstLine="360"/>
              <w:contextualSpacing/>
              <w:jc w:val="both"/>
              <w:rPr>
                <w:rFonts w:ascii="Times New Roman" w:hAnsi="Times New Roman" w:cs="Times New Roman"/>
                <w:b/>
                <w:bCs/>
                <w:i/>
                <w:iCs/>
                <w:sz w:val="24"/>
                <w:szCs w:val="24"/>
                <w:lang w:val="en-US"/>
              </w:rPr>
            </w:pPr>
            <w:r w:rsidRPr="00841FCF">
              <w:rPr>
                <w:rFonts w:ascii="Times New Roman" w:hAnsi="Times New Roman" w:cs="Times New Roman"/>
                <w:b/>
                <w:bCs/>
                <w:i/>
                <w:iCs/>
                <w:sz w:val="24"/>
                <w:szCs w:val="24"/>
                <w:lang w:val="en-US"/>
              </w:rPr>
              <w:t xml:space="preserve">Type </w:t>
            </w:r>
          </w:p>
          <w:p w14:paraId="7949B3AE" w14:textId="77777777" w:rsidR="00841FCF" w:rsidRPr="00841FCF" w:rsidRDefault="00841FCF" w:rsidP="008036F8">
            <w:pPr>
              <w:spacing w:line="240" w:lineRule="auto"/>
              <w:ind w:firstLine="360"/>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US"/>
              </w:rPr>
              <w:t>(CARE framework level 3)</w:t>
            </w:r>
            <w:r w:rsidRPr="00841FCF">
              <w:rPr>
                <w:rFonts w:ascii="Times New Roman" w:hAnsi="Times New Roman" w:cs="Times New Roman"/>
                <w:b/>
                <w:bCs/>
                <w:sz w:val="24"/>
                <w:szCs w:val="24"/>
                <w:lang w:val="en-GB"/>
              </w:rPr>
              <w:t> </w:t>
            </w:r>
          </w:p>
        </w:tc>
        <w:tc>
          <w:tcPr>
            <w:tcW w:w="3708" w:type="pct"/>
            <w:shd w:val="clear" w:color="auto" w:fill="auto"/>
            <w:hideMark/>
          </w:tcPr>
          <w:p w14:paraId="1B7F0489" w14:textId="77777777" w:rsidR="00841FCF" w:rsidRPr="00841FCF" w:rsidRDefault="00841FCF" w:rsidP="008036F8">
            <w:pPr>
              <w:spacing w:line="240" w:lineRule="auto"/>
              <w:ind w:firstLine="360"/>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US"/>
              </w:rPr>
              <w:t xml:space="preserve">Description of the response to </w:t>
            </w:r>
            <w:r w:rsidRPr="00841FCF">
              <w:rPr>
                <w:rFonts w:ascii="Times New Roman" w:hAnsi="Times New Roman" w:cs="Times New Roman"/>
                <w:sz w:val="24"/>
                <w:szCs w:val="24"/>
                <w:lang w:val="en-GB"/>
              </w:rPr>
              <w:t xml:space="preserve">an act, which, from the perspective of the people living on the plantation, was a marker of inequality </w:t>
            </w:r>
          </w:p>
        </w:tc>
      </w:tr>
      <w:tr w:rsidR="00841FCF" w:rsidRPr="00841FCF" w14:paraId="1CD5ED70" w14:textId="77777777" w:rsidTr="00F1640C">
        <w:trPr>
          <w:jc w:val="center"/>
        </w:trPr>
        <w:tc>
          <w:tcPr>
            <w:tcW w:w="1292" w:type="pct"/>
            <w:tcBorders>
              <w:top w:val="single" w:sz="4" w:space="0" w:color="7F7F7F"/>
              <w:bottom w:val="single" w:sz="4" w:space="0" w:color="7F7F7F"/>
            </w:tcBorders>
            <w:shd w:val="clear" w:color="auto" w:fill="auto"/>
            <w:hideMark/>
          </w:tcPr>
          <w:p w14:paraId="41E8A3E6" w14:textId="77777777" w:rsidR="00841FCF" w:rsidRPr="00841FCF" w:rsidRDefault="00841FCF" w:rsidP="008036F8">
            <w:pPr>
              <w:spacing w:line="240" w:lineRule="auto"/>
              <w:ind w:firstLine="360"/>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US"/>
              </w:rPr>
              <w:t>Frequency</w:t>
            </w:r>
            <w:r w:rsidRPr="00841FCF">
              <w:rPr>
                <w:rFonts w:ascii="Times New Roman" w:hAnsi="Times New Roman" w:cs="Times New Roman"/>
                <w:b/>
                <w:bCs/>
                <w:sz w:val="24"/>
                <w:szCs w:val="24"/>
                <w:lang w:val="en-GB"/>
              </w:rPr>
              <w:t> </w:t>
            </w:r>
          </w:p>
        </w:tc>
        <w:tc>
          <w:tcPr>
            <w:tcW w:w="3708" w:type="pct"/>
            <w:tcBorders>
              <w:top w:val="single" w:sz="4" w:space="0" w:color="7F7F7F"/>
              <w:bottom w:val="single" w:sz="4" w:space="0" w:color="7F7F7F"/>
            </w:tcBorders>
            <w:shd w:val="clear" w:color="auto" w:fill="auto"/>
            <w:hideMark/>
          </w:tcPr>
          <w:p w14:paraId="14E47E82" w14:textId="77777777" w:rsidR="00841FCF" w:rsidRPr="00841FCF" w:rsidRDefault="00841FCF" w:rsidP="008036F8">
            <w:pPr>
              <w:spacing w:line="240" w:lineRule="auto"/>
              <w:ind w:firstLine="360"/>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US"/>
              </w:rPr>
              <w:t xml:space="preserve">How often did the response occur </w:t>
            </w:r>
          </w:p>
        </w:tc>
      </w:tr>
      <w:tr w:rsidR="00841FCF" w:rsidRPr="00841FCF" w14:paraId="6DF93F72" w14:textId="77777777" w:rsidTr="00F1640C">
        <w:trPr>
          <w:jc w:val="center"/>
        </w:trPr>
        <w:tc>
          <w:tcPr>
            <w:tcW w:w="1292" w:type="pct"/>
            <w:shd w:val="clear" w:color="auto" w:fill="auto"/>
            <w:hideMark/>
          </w:tcPr>
          <w:p w14:paraId="56029B9B" w14:textId="77777777" w:rsidR="00841FCF" w:rsidRPr="00841FCF" w:rsidRDefault="00841FCF" w:rsidP="008036F8">
            <w:pPr>
              <w:spacing w:line="240" w:lineRule="auto"/>
              <w:ind w:firstLine="360"/>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US"/>
              </w:rPr>
              <w:t>Duration</w:t>
            </w:r>
            <w:r w:rsidRPr="00841FCF">
              <w:rPr>
                <w:rFonts w:ascii="Times New Roman" w:hAnsi="Times New Roman" w:cs="Times New Roman"/>
                <w:b/>
                <w:bCs/>
                <w:sz w:val="24"/>
                <w:szCs w:val="24"/>
                <w:lang w:val="en-GB"/>
              </w:rPr>
              <w:t> </w:t>
            </w:r>
          </w:p>
        </w:tc>
        <w:tc>
          <w:tcPr>
            <w:tcW w:w="3708" w:type="pct"/>
            <w:shd w:val="clear" w:color="auto" w:fill="auto"/>
            <w:hideMark/>
          </w:tcPr>
          <w:p w14:paraId="3D1872CF" w14:textId="77777777" w:rsidR="00841FCF" w:rsidRPr="00841FCF" w:rsidRDefault="00841FCF" w:rsidP="008036F8">
            <w:pPr>
              <w:spacing w:line="240" w:lineRule="auto"/>
              <w:ind w:firstLine="360"/>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US"/>
              </w:rPr>
              <w:t xml:space="preserve">How long was the response sustained </w:t>
            </w:r>
          </w:p>
        </w:tc>
      </w:tr>
      <w:tr w:rsidR="00841FCF" w:rsidRPr="00841FCF" w14:paraId="42371E95" w14:textId="77777777" w:rsidTr="00F1640C">
        <w:trPr>
          <w:jc w:val="center"/>
        </w:trPr>
        <w:tc>
          <w:tcPr>
            <w:tcW w:w="1292" w:type="pct"/>
            <w:tcBorders>
              <w:top w:val="single" w:sz="4" w:space="0" w:color="7F7F7F"/>
              <w:bottom w:val="single" w:sz="4" w:space="0" w:color="7F7F7F"/>
            </w:tcBorders>
            <w:shd w:val="clear" w:color="auto" w:fill="auto"/>
            <w:hideMark/>
          </w:tcPr>
          <w:p w14:paraId="0E03E6DD" w14:textId="77777777" w:rsidR="00841FCF" w:rsidRPr="00841FCF" w:rsidRDefault="00841FCF" w:rsidP="008036F8">
            <w:pPr>
              <w:spacing w:line="240" w:lineRule="auto"/>
              <w:ind w:firstLine="360"/>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US"/>
              </w:rPr>
              <w:t>Temporal and spatial location</w:t>
            </w:r>
            <w:r w:rsidRPr="00841FCF">
              <w:rPr>
                <w:rFonts w:ascii="Times New Roman" w:hAnsi="Times New Roman" w:cs="Times New Roman"/>
                <w:b/>
                <w:bCs/>
                <w:sz w:val="24"/>
                <w:szCs w:val="24"/>
                <w:lang w:val="en-US"/>
              </w:rPr>
              <w:t xml:space="preserve"> </w:t>
            </w:r>
          </w:p>
        </w:tc>
        <w:tc>
          <w:tcPr>
            <w:tcW w:w="3708" w:type="pct"/>
            <w:tcBorders>
              <w:top w:val="single" w:sz="4" w:space="0" w:color="7F7F7F"/>
              <w:bottom w:val="single" w:sz="4" w:space="0" w:color="7F7F7F"/>
            </w:tcBorders>
            <w:shd w:val="clear" w:color="auto" w:fill="auto"/>
            <w:hideMark/>
          </w:tcPr>
          <w:p w14:paraId="46BC55DF" w14:textId="77777777" w:rsidR="00841FCF" w:rsidRPr="00841FCF" w:rsidRDefault="00841FCF" w:rsidP="008036F8">
            <w:pPr>
              <w:spacing w:line="240" w:lineRule="auto"/>
              <w:ind w:firstLine="360"/>
              <w:contextualSpacing/>
              <w:jc w:val="both"/>
              <w:rPr>
                <w:rFonts w:ascii="Times New Roman" w:hAnsi="Times New Roman" w:cs="Times New Roman"/>
                <w:sz w:val="24"/>
                <w:szCs w:val="24"/>
                <w:lang w:val="en-GB"/>
              </w:rPr>
            </w:pPr>
            <w:r w:rsidRPr="00841FCF">
              <w:rPr>
                <w:rFonts w:ascii="Times New Roman" w:hAnsi="Times New Roman" w:cs="Times New Roman"/>
                <w:i/>
                <w:sz w:val="24"/>
                <w:szCs w:val="24"/>
                <w:lang w:val="en-GB"/>
              </w:rPr>
              <w:t>When</w:t>
            </w:r>
            <w:r w:rsidRPr="00841FCF">
              <w:rPr>
                <w:rFonts w:ascii="Times New Roman" w:hAnsi="Times New Roman" w:cs="Times New Roman"/>
                <w:sz w:val="24"/>
                <w:szCs w:val="24"/>
                <w:lang w:val="en-GB"/>
              </w:rPr>
              <w:t xml:space="preserve"> (during working hours, outside of working hours, or in terms of historical chronology) and </w:t>
            </w:r>
            <w:r w:rsidRPr="00841FCF">
              <w:rPr>
                <w:rFonts w:ascii="Times New Roman" w:hAnsi="Times New Roman" w:cs="Times New Roman"/>
                <w:i/>
                <w:sz w:val="24"/>
                <w:szCs w:val="24"/>
                <w:lang w:val="en-GB"/>
              </w:rPr>
              <w:t>where</w:t>
            </w:r>
            <w:r w:rsidRPr="00841FCF">
              <w:rPr>
                <w:rFonts w:ascii="Times New Roman" w:hAnsi="Times New Roman" w:cs="Times New Roman"/>
                <w:sz w:val="24"/>
                <w:szCs w:val="24"/>
                <w:lang w:val="en-GB"/>
              </w:rPr>
              <w:t xml:space="preserve"> the act of response took place (for example, within the labourers’ place of residence; on the plantations; hospital or healthcare centre; in the courts; in official documents)</w:t>
            </w:r>
          </w:p>
        </w:tc>
      </w:tr>
      <w:tr w:rsidR="00841FCF" w:rsidRPr="00841FCF" w14:paraId="74E350E1" w14:textId="77777777" w:rsidTr="00F1640C">
        <w:trPr>
          <w:jc w:val="center"/>
        </w:trPr>
        <w:tc>
          <w:tcPr>
            <w:tcW w:w="1292" w:type="pct"/>
            <w:shd w:val="clear" w:color="auto" w:fill="auto"/>
            <w:hideMark/>
          </w:tcPr>
          <w:p w14:paraId="579D1A69" w14:textId="77777777" w:rsidR="00841FCF" w:rsidRPr="00841FCF" w:rsidRDefault="00841FCF" w:rsidP="008036F8">
            <w:pPr>
              <w:spacing w:line="240" w:lineRule="auto"/>
              <w:ind w:firstLine="360"/>
              <w:contextualSpacing/>
              <w:jc w:val="both"/>
              <w:rPr>
                <w:rFonts w:ascii="Times New Roman" w:hAnsi="Times New Roman" w:cs="Times New Roman"/>
                <w:b/>
                <w:bCs/>
                <w:i/>
                <w:iCs/>
                <w:sz w:val="24"/>
                <w:szCs w:val="24"/>
                <w:lang w:val="en-US"/>
              </w:rPr>
            </w:pPr>
            <w:r w:rsidRPr="00841FCF">
              <w:rPr>
                <w:rFonts w:ascii="Times New Roman" w:hAnsi="Times New Roman" w:cs="Times New Roman"/>
                <w:b/>
                <w:bCs/>
                <w:i/>
                <w:iCs/>
                <w:sz w:val="24"/>
                <w:szCs w:val="24"/>
                <w:lang w:val="en-US"/>
              </w:rPr>
              <w:t>Responsibility </w:t>
            </w:r>
          </w:p>
          <w:p w14:paraId="410B17A5" w14:textId="77777777" w:rsidR="00841FCF" w:rsidRPr="00841FCF" w:rsidRDefault="00841FCF" w:rsidP="008036F8">
            <w:pPr>
              <w:spacing w:line="240" w:lineRule="auto"/>
              <w:ind w:firstLine="360"/>
              <w:contextualSpacing/>
              <w:jc w:val="both"/>
              <w:rPr>
                <w:rFonts w:ascii="Times New Roman" w:hAnsi="Times New Roman" w:cs="Times New Roman"/>
                <w:b/>
                <w:bCs/>
                <w:sz w:val="24"/>
                <w:szCs w:val="24"/>
                <w:lang w:val="en-GB"/>
              </w:rPr>
            </w:pPr>
            <w:r w:rsidRPr="00841FCF">
              <w:rPr>
                <w:rFonts w:ascii="Times New Roman" w:hAnsi="Times New Roman" w:cs="Times New Roman"/>
                <w:b/>
                <w:bCs/>
                <w:i/>
                <w:iCs/>
                <w:sz w:val="24"/>
                <w:szCs w:val="24"/>
                <w:lang w:val="en-US"/>
              </w:rPr>
              <w:t>attribution</w:t>
            </w:r>
            <w:r w:rsidRPr="00841FCF">
              <w:rPr>
                <w:rFonts w:ascii="Times New Roman" w:hAnsi="Times New Roman" w:cs="Times New Roman"/>
                <w:b/>
                <w:bCs/>
                <w:sz w:val="24"/>
                <w:szCs w:val="24"/>
                <w:lang w:val="en-GB"/>
              </w:rPr>
              <w:t> </w:t>
            </w:r>
          </w:p>
        </w:tc>
        <w:tc>
          <w:tcPr>
            <w:tcW w:w="3708" w:type="pct"/>
            <w:shd w:val="clear" w:color="auto" w:fill="auto"/>
            <w:hideMark/>
          </w:tcPr>
          <w:p w14:paraId="6196E530" w14:textId="77777777" w:rsidR="00841FCF" w:rsidRPr="00841FCF" w:rsidRDefault="00841FCF" w:rsidP="008036F8">
            <w:pPr>
              <w:spacing w:line="240" w:lineRule="auto"/>
              <w:ind w:firstLine="360"/>
              <w:contextualSpacing/>
              <w:jc w:val="both"/>
              <w:rPr>
                <w:rFonts w:ascii="Times New Roman" w:hAnsi="Times New Roman" w:cs="Times New Roman"/>
                <w:sz w:val="24"/>
                <w:szCs w:val="24"/>
                <w:lang w:val="en-GB"/>
              </w:rPr>
            </w:pPr>
            <w:r w:rsidRPr="00841FCF">
              <w:rPr>
                <w:rFonts w:ascii="Times New Roman" w:hAnsi="Times New Roman" w:cs="Times New Roman"/>
                <w:sz w:val="24"/>
                <w:szCs w:val="24"/>
                <w:lang w:val="en-US"/>
              </w:rPr>
              <w:t>Repercussions, if any, for the agent of the inequitable act</w:t>
            </w:r>
            <w:r w:rsidRPr="00841FCF">
              <w:rPr>
                <w:rFonts w:ascii="Times New Roman" w:hAnsi="Times New Roman" w:cs="Times New Roman"/>
                <w:sz w:val="24"/>
                <w:szCs w:val="24"/>
                <w:vertAlign w:val="superscript"/>
                <w:lang w:val="en-US"/>
              </w:rPr>
              <w:footnoteReference w:id="2"/>
            </w:r>
            <w:r w:rsidRPr="00841FCF">
              <w:rPr>
                <w:rFonts w:ascii="Times New Roman" w:hAnsi="Times New Roman" w:cs="Times New Roman"/>
                <w:sz w:val="24"/>
                <w:szCs w:val="24"/>
                <w:lang w:val="en-US"/>
              </w:rPr>
              <w:t xml:space="preserve">: </w:t>
            </w:r>
            <w:r w:rsidRPr="00841FCF">
              <w:rPr>
                <w:rFonts w:ascii="Times New Roman" w:hAnsi="Times New Roman" w:cs="Times New Roman"/>
                <w:sz w:val="24"/>
                <w:szCs w:val="24"/>
                <w:lang w:val="en-GB"/>
              </w:rPr>
              <w:t>The form of punishment, or the lack of punishment, which in turn, could either lead to further condoned acts of inequality or further acts of retaliation  </w:t>
            </w:r>
          </w:p>
        </w:tc>
      </w:tr>
    </w:tbl>
    <w:p w14:paraId="58DDBDFF" w14:textId="77777777" w:rsidR="008226A4" w:rsidRDefault="008226A4" w:rsidP="008036F8">
      <w:pPr>
        <w:spacing w:line="360" w:lineRule="auto"/>
        <w:ind w:firstLine="360"/>
        <w:jc w:val="both"/>
        <w:rPr>
          <w:rFonts w:ascii="Times New Roman" w:eastAsia="Calibri" w:hAnsi="Times New Roman" w:cs="Times New Roman"/>
          <w:sz w:val="24"/>
          <w:szCs w:val="24"/>
        </w:rPr>
      </w:pPr>
    </w:p>
    <w:p w14:paraId="0A09A273" w14:textId="1A23576D" w:rsidR="00AD3CC7" w:rsidRPr="00E47A0F" w:rsidRDefault="00AD3CC7" w:rsidP="008036F8">
      <w:pPr>
        <w:spacing w:line="360" w:lineRule="auto"/>
        <w:ind w:firstLine="360"/>
        <w:jc w:val="both"/>
        <w:rPr>
          <w:rFonts w:ascii="Times New Roman" w:eastAsia="Calibri" w:hAnsi="Times New Roman" w:cs="Times New Roman"/>
          <w:sz w:val="24"/>
          <w:szCs w:val="24"/>
        </w:rPr>
      </w:pPr>
      <w:r w:rsidRPr="00E47A0F">
        <w:rPr>
          <w:rFonts w:ascii="Times New Roman" w:eastAsia="Calibri" w:hAnsi="Times New Roman" w:cs="Times New Roman"/>
          <w:sz w:val="24"/>
          <w:szCs w:val="24"/>
        </w:rPr>
        <w:t xml:space="preserve">In contrasting the consequences of an act for the agents/perpetrators and victims/recipients it is possible to discuss the place of power and agency in acts of inequity.  </w:t>
      </w:r>
    </w:p>
    <w:p w14:paraId="26709B45" w14:textId="64D1EA0C" w:rsidR="00AD3CC7" w:rsidRDefault="00AD3CC7" w:rsidP="008036F8">
      <w:pPr>
        <w:spacing w:line="360" w:lineRule="auto"/>
        <w:jc w:val="both"/>
        <w:rPr>
          <w:rFonts w:ascii="Times New Roman" w:hAnsi="Times New Roman" w:cs="Times New Roman"/>
          <w:sz w:val="24"/>
          <w:szCs w:val="24"/>
        </w:rPr>
      </w:pPr>
      <w:r w:rsidRPr="00E47A0F">
        <w:rPr>
          <w:rFonts w:ascii="Times New Roman" w:hAnsi="Times New Roman" w:cs="Times New Roman"/>
          <w:sz w:val="24"/>
          <w:szCs w:val="24"/>
        </w:rPr>
        <w:lastRenderedPageBreak/>
        <w:t xml:space="preserve">Finally, the act of inequality can be resituated alongside other factors.  This allows an analysis of the </w:t>
      </w:r>
      <w:r w:rsidRPr="00E47A0F">
        <w:rPr>
          <w:rFonts w:ascii="Times New Roman" w:eastAsia="Calibri" w:hAnsi="Times New Roman" w:cs="Times New Roman"/>
          <w:sz w:val="24"/>
          <w:szCs w:val="24"/>
        </w:rPr>
        <w:t xml:space="preserve">levels at which the </w:t>
      </w:r>
      <w:r w:rsidRPr="00E47A0F">
        <w:rPr>
          <w:rFonts w:ascii="Times New Roman" w:hAnsi="Times New Roman" w:cs="Times New Roman"/>
          <w:sz w:val="24"/>
          <w:szCs w:val="24"/>
        </w:rPr>
        <w:t xml:space="preserve">inequality </w:t>
      </w:r>
      <w:r w:rsidRPr="00E47A0F">
        <w:rPr>
          <w:rFonts w:ascii="Times New Roman" w:eastAsia="Calibri" w:hAnsi="Times New Roman" w:cs="Times New Roman"/>
          <w:sz w:val="24"/>
          <w:szCs w:val="24"/>
        </w:rPr>
        <w:t xml:space="preserve">occurs and the consequent levels of impact of the </w:t>
      </w:r>
      <w:r w:rsidRPr="00E47A0F">
        <w:rPr>
          <w:rFonts w:ascii="Times New Roman" w:hAnsi="Times New Roman" w:cs="Times New Roman"/>
          <w:sz w:val="24"/>
          <w:szCs w:val="24"/>
        </w:rPr>
        <w:t>inequality</w:t>
      </w:r>
      <w:r w:rsidR="003A4605" w:rsidRPr="00E47A0F">
        <w:rPr>
          <w:rFonts w:ascii="Times New Roman" w:hAnsi="Times New Roman" w:cs="Times New Roman"/>
          <w:sz w:val="24"/>
          <w:szCs w:val="24"/>
        </w:rPr>
        <w:t xml:space="preserve">, for instance, </w:t>
      </w:r>
      <w:r w:rsidRPr="00E47A0F">
        <w:rPr>
          <w:rFonts w:ascii="Times New Roman" w:eastAsia="Calibri" w:hAnsi="Times New Roman" w:cs="Times New Roman"/>
          <w:sz w:val="24"/>
          <w:szCs w:val="24"/>
        </w:rPr>
        <w:t xml:space="preserve">is </w:t>
      </w:r>
      <w:r w:rsidR="003A4605" w:rsidRPr="00E47A0F">
        <w:rPr>
          <w:rFonts w:ascii="Times New Roman" w:eastAsia="Calibri" w:hAnsi="Times New Roman" w:cs="Times New Roman"/>
          <w:sz w:val="24"/>
          <w:szCs w:val="24"/>
        </w:rPr>
        <w:t>the analysis focusing on</w:t>
      </w:r>
      <w:r w:rsidRPr="00E47A0F">
        <w:rPr>
          <w:rFonts w:ascii="Times New Roman" w:eastAsia="Calibri" w:hAnsi="Times New Roman" w:cs="Times New Roman"/>
          <w:sz w:val="24"/>
          <w:szCs w:val="24"/>
        </w:rPr>
        <w:t xml:space="preserve"> a C</w:t>
      </w:r>
      <w:r w:rsidR="003A4605" w:rsidRPr="00E47A0F">
        <w:rPr>
          <w:rFonts w:ascii="Times New Roman" w:eastAsia="Calibri" w:hAnsi="Times New Roman" w:cs="Times New Roman"/>
          <w:sz w:val="24"/>
          <w:szCs w:val="24"/>
        </w:rPr>
        <w:t>ause</w:t>
      </w:r>
      <w:r w:rsidRPr="00E47A0F">
        <w:rPr>
          <w:rFonts w:ascii="Times New Roman" w:eastAsia="Calibri" w:hAnsi="Times New Roman" w:cs="Times New Roman"/>
          <w:sz w:val="24"/>
          <w:szCs w:val="24"/>
        </w:rPr>
        <w:t>-E</w:t>
      </w:r>
      <w:r w:rsidR="003A4605" w:rsidRPr="00E47A0F">
        <w:rPr>
          <w:rFonts w:ascii="Times New Roman" w:eastAsia="Calibri" w:hAnsi="Times New Roman" w:cs="Times New Roman"/>
          <w:sz w:val="24"/>
          <w:szCs w:val="24"/>
        </w:rPr>
        <w:t>ffect</w:t>
      </w:r>
      <w:r w:rsidRPr="00E47A0F">
        <w:rPr>
          <w:rFonts w:ascii="Times New Roman" w:eastAsia="Calibri" w:hAnsi="Times New Roman" w:cs="Times New Roman"/>
          <w:sz w:val="24"/>
          <w:szCs w:val="24"/>
        </w:rPr>
        <w:t xml:space="preserve"> </w:t>
      </w:r>
      <w:r w:rsidRPr="00E47A0F">
        <w:rPr>
          <w:rFonts w:ascii="Times New Roman" w:eastAsia="Calibri" w:hAnsi="Times New Roman" w:cs="Times New Roman"/>
          <w:noProof/>
          <w:sz w:val="24"/>
          <w:szCs w:val="24"/>
        </w:rPr>
        <w:t>relationship</w:t>
      </w:r>
      <w:r w:rsidRPr="00E47A0F">
        <w:rPr>
          <w:rFonts w:ascii="Times New Roman" w:eastAsia="Calibri" w:hAnsi="Times New Roman" w:cs="Times New Roman"/>
          <w:sz w:val="24"/>
          <w:szCs w:val="24"/>
        </w:rPr>
        <w:t xml:space="preserve"> or is a causal chain of events that finally impact the labourer in multiple ways?  </w:t>
      </w:r>
      <w:r w:rsidRPr="00E47A0F">
        <w:rPr>
          <w:rFonts w:ascii="Times New Roman" w:hAnsi="Times New Roman" w:cs="Times New Roman"/>
          <w:sz w:val="24"/>
          <w:szCs w:val="24"/>
        </w:rPr>
        <w:t xml:space="preserve">Through consideration of the interplay of factors within the multi-level </w:t>
      </w:r>
      <w:r w:rsidRPr="00E47A0F">
        <w:rPr>
          <w:rFonts w:ascii="Times New Roman" w:hAnsi="Times New Roman" w:cs="Times New Roman"/>
          <w:noProof/>
          <w:sz w:val="24"/>
          <w:szCs w:val="24"/>
        </w:rPr>
        <w:t>framework,</w:t>
      </w:r>
      <w:r w:rsidRPr="00E47A0F">
        <w:rPr>
          <w:rFonts w:ascii="Times New Roman" w:hAnsi="Times New Roman" w:cs="Times New Roman"/>
          <w:sz w:val="24"/>
          <w:szCs w:val="24"/>
        </w:rPr>
        <w:t xml:space="preserve"> we can recognize “that individuals and social groups may be subjected simultaneously to multiple-and interacting-types of discrimination” (Krieger, 2001: 693).</w:t>
      </w:r>
    </w:p>
    <w:p w14:paraId="640CCA84" w14:textId="77777777" w:rsidR="00DB6A2A" w:rsidRPr="00E47A0F" w:rsidRDefault="00DB6A2A" w:rsidP="008036F8">
      <w:pPr>
        <w:spacing w:line="360" w:lineRule="auto"/>
        <w:jc w:val="both"/>
        <w:rPr>
          <w:rFonts w:ascii="Times New Roman" w:hAnsi="Times New Roman" w:cs="Times New Roman"/>
          <w:sz w:val="24"/>
          <w:szCs w:val="24"/>
        </w:rPr>
      </w:pPr>
    </w:p>
    <w:p w14:paraId="3AAA5EF8" w14:textId="77777777" w:rsidR="003C4087" w:rsidRPr="00E47A0F" w:rsidRDefault="00B46734" w:rsidP="008036F8">
      <w:pPr>
        <w:pStyle w:val="Heading1"/>
        <w:jc w:val="both"/>
        <w:rPr>
          <w:rFonts w:ascii="Times New Roman" w:hAnsi="Times New Roman" w:cs="Times New Roman"/>
        </w:rPr>
      </w:pPr>
      <w:bookmarkStart w:id="14" w:name="_Hlk10208116"/>
      <w:r w:rsidRPr="00E47A0F">
        <w:rPr>
          <w:rFonts w:ascii="Times New Roman" w:hAnsi="Times New Roman" w:cs="Times New Roman"/>
        </w:rPr>
        <w:t>Future methodological considerations</w:t>
      </w:r>
    </w:p>
    <w:p w14:paraId="29A096C3" w14:textId="70AF5389" w:rsidR="00AF4C31" w:rsidRPr="00E47A0F" w:rsidRDefault="00C07F0E" w:rsidP="008036F8">
      <w:pPr>
        <w:spacing w:line="360" w:lineRule="auto"/>
        <w:jc w:val="both"/>
        <w:rPr>
          <w:rFonts w:ascii="Times New Roman" w:hAnsi="Times New Roman" w:cs="Times New Roman"/>
          <w:sz w:val="24"/>
          <w:szCs w:val="24"/>
        </w:rPr>
      </w:pPr>
      <w:r w:rsidRPr="00E47A0F">
        <w:rPr>
          <w:rStyle w:val="gmaildefault"/>
          <w:rFonts w:ascii="Times New Roman" w:hAnsi="Times New Roman" w:cs="Times New Roman"/>
          <w:color w:val="222222"/>
          <w:sz w:val="24"/>
          <w:szCs w:val="24"/>
        </w:rPr>
        <w:t>The f</w:t>
      </w:r>
      <w:r w:rsidRPr="00E47A0F">
        <w:rPr>
          <w:rFonts w:ascii="Times New Roman" w:hAnsi="Times New Roman" w:cs="Times New Roman"/>
          <w:color w:val="222222"/>
          <w:sz w:val="24"/>
          <w:szCs w:val="24"/>
          <w:shd w:val="clear" w:color="auto" w:fill="FFFFFF"/>
        </w:rPr>
        <w:t xml:space="preserve">ramework can be used to </w:t>
      </w:r>
      <w:r w:rsidR="008B4BC5" w:rsidRPr="00E47A0F">
        <w:rPr>
          <w:rFonts w:ascii="Times New Roman" w:hAnsi="Times New Roman" w:cs="Times New Roman"/>
          <w:color w:val="222222"/>
          <w:sz w:val="24"/>
          <w:szCs w:val="24"/>
          <w:shd w:val="clear" w:color="auto" w:fill="FFFFFF"/>
        </w:rPr>
        <w:t xml:space="preserve">provide </w:t>
      </w:r>
      <w:r w:rsidR="008B4BC5" w:rsidRPr="00E47A0F">
        <w:rPr>
          <w:rFonts w:ascii="Times New Roman" w:hAnsi="Times New Roman" w:cs="Times New Roman"/>
          <w:sz w:val="24"/>
          <w:szCs w:val="24"/>
        </w:rPr>
        <w:t xml:space="preserve">an </w:t>
      </w:r>
      <w:r w:rsidR="008B4BC5" w:rsidRPr="00E47A0F">
        <w:rPr>
          <w:rFonts w:ascii="Times New Roman" w:hAnsi="Times New Roman" w:cs="Times New Roman"/>
          <w:noProof/>
          <w:sz w:val="24"/>
          <w:szCs w:val="24"/>
        </w:rPr>
        <w:t>in-depth</w:t>
      </w:r>
      <w:r w:rsidR="008B4BC5" w:rsidRPr="00E47A0F">
        <w:rPr>
          <w:rFonts w:ascii="Times New Roman" w:hAnsi="Times New Roman" w:cs="Times New Roman"/>
          <w:sz w:val="24"/>
          <w:szCs w:val="24"/>
        </w:rPr>
        <w:t xml:space="preserve"> analysis of</w:t>
      </w:r>
      <w:r w:rsidRPr="00E47A0F">
        <w:rPr>
          <w:rFonts w:ascii="Times New Roman" w:hAnsi="Times New Roman" w:cs="Times New Roman"/>
          <w:color w:val="222222"/>
          <w:sz w:val="24"/>
          <w:szCs w:val="24"/>
          <w:shd w:val="clear" w:color="auto" w:fill="FFFFFF"/>
        </w:rPr>
        <w:t xml:space="preserve"> causal factors and responses to health inequ</w:t>
      </w:r>
      <w:r w:rsidRPr="00E47A0F">
        <w:rPr>
          <w:rStyle w:val="normaltextrun"/>
          <w:rFonts w:ascii="Times New Roman" w:hAnsi="Times New Roman" w:cs="Times New Roman"/>
          <w:color w:val="000000"/>
          <w:sz w:val="24"/>
          <w:szCs w:val="24"/>
          <w:shd w:val="clear" w:color="auto" w:fill="FFFFFF"/>
        </w:rPr>
        <w:t>al</w:t>
      </w:r>
      <w:r w:rsidRPr="00E47A0F">
        <w:rPr>
          <w:rFonts w:ascii="Times New Roman" w:hAnsi="Times New Roman" w:cs="Times New Roman"/>
          <w:color w:val="222222"/>
          <w:sz w:val="24"/>
          <w:szCs w:val="24"/>
          <w:shd w:val="clear" w:color="auto" w:fill="FFFFFF"/>
        </w:rPr>
        <w:t>ities</w:t>
      </w:r>
      <w:r w:rsidR="008B4BC5" w:rsidRPr="00E47A0F">
        <w:rPr>
          <w:rFonts w:ascii="Times New Roman" w:hAnsi="Times New Roman" w:cs="Times New Roman"/>
          <w:color w:val="222222"/>
          <w:sz w:val="24"/>
          <w:szCs w:val="24"/>
          <w:shd w:val="clear" w:color="auto" w:fill="FFFFFF"/>
        </w:rPr>
        <w:t xml:space="preserve"> across the indentured colonies</w:t>
      </w:r>
      <w:r w:rsidRPr="00E47A0F">
        <w:rPr>
          <w:rFonts w:ascii="Times New Roman" w:eastAsia="Times New Roman" w:hAnsi="Times New Roman" w:cs="Times New Roman"/>
          <w:color w:val="222222"/>
          <w:sz w:val="24"/>
          <w:szCs w:val="24"/>
          <w:lang w:eastAsia="en-NZ"/>
        </w:rPr>
        <w:t xml:space="preserve">.  </w:t>
      </w:r>
      <w:r w:rsidR="008B4BC5" w:rsidRPr="00E47A0F">
        <w:rPr>
          <w:rFonts w:ascii="Times New Roman" w:eastAsia="Times New Roman" w:hAnsi="Times New Roman" w:cs="Times New Roman"/>
          <w:color w:val="222222"/>
          <w:sz w:val="24"/>
          <w:szCs w:val="24"/>
          <w:lang w:eastAsia="en-NZ"/>
        </w:rPr>
        <w:t>F</w:t>
      </w:r>
      <w:r w:rsidR="00AF4C31" w:rsidRPr="00E47A0F">
        <w:rPr>
          <w:rFonts w:ascii="Times New Roman" w:hAnsi="Times New Roman" w:cs="Times New Roman"/>
          <w:sz w:val="24"/>
          <w:szCs w:val="24"/>
        </w:rPr>
        <w:t xml:space="preserve">actors during indenture could have served as buffers against the excesses of the social and material environments.  However, the same factors could also become limiters to </w:t>
      </w:r>
      <w:r w:rsidR="00AF4C31" w:rsidRPr="00E47A0F">
        <w:rPr>
          <w:rFonts w:ascii="Times New Roman" w:hAnsi="Times New Roman" w:cs="Times New Roman"/>
          <w:noProof/>
          <w:sz w:val="24"/>
          <w:szCs w:val="24"/>
        </w:rPr>
        <w:t>plantation-based</w:t>
      </w:r>
      <w:r w:rsidR="00AF4C31" w:rsidRPr="00E47A0F">
        <w:rPr>
          <w:rFonts w:ascii="Times New Roman" w:hAnsi="Times New Roman" w:cs="Times New Roman"/>
          <w:sz w:val="24"/>
          <w:szCs w:val="24"/>
        </w:rPr>
        <w:t xml:space="preserve"> individuals’ health outcomes.</w:t>
      </w:r>
      <w:r w:rsidR="008B4BC5" w:rsidRPr="00E47A0F">
        <w:rPr>
          <w:rFonts w:ascii="Times New Roman" w:hAnsi="Times New Roman" w:cs="Times New Roman"/>
          <w:sz w:val="24"/>
          <w:szCs w:val="24"/>
        </w:rPr>
        <w:t xml:space="preserve"> </w:t>
      </w:r>
      <w:r w:rsidR="00196070">
        <w:rPr>
          <w:rFonts w:ascii="Times New Roman" w:hAnsi="Times New Roman" w:cs="Times New Roman"/>
          <w:sz w:val="24"/>
          <w:szCs w:val="24"/>
        </w:rPr>
        <w:t>For instance, the loss of cultural markers, such as caste and the adaptation of cultural practices may have suited the labourers who were established on the plantation, but for new labourers entering the plantation, this may have been quite stressful.</w:t>
      </w:r>
    </w:p>
    <w:p w14:paraId="51ED4224" w14:textId="20AC0B18" w:rsidR="0009278B" w:rsidRPr="00E47A0F" w:rsidRDefault="00C07F0E" w:rsidP="008036F8">
      <w:pPr>
        <w:spacing w:after="0" w:line="360" w:lineRule="auto"/>
        <w:ind w:firstLine="720"/>
        <w:jc w:val="both"/>
        <w:rPr>
          <w:rFonts w:ascii="Times New Roman" w:hAnsi="Times New Roman" w:cs="Times New Roman"/>
          <w:sz w:val="24"/>
          <w:szCs w:val="24"/>
        </w:rPr>
      </w:pPr>
      <w:r w:rsidRPr="00E47A0F">
        <w:rPr>
          <w:rFonts w:ascii="Times New Roman" w:hAnsi="Times New Roman" w:cs="Times New Roman"/>
          <w:sz w:val="24"/>
          <w:szCs w:val="24"/>
        </w:rPr>
        <w:t>Future research can apply the framework to investigate labourers’ responses to perceived acts of inequality: Resistance acts amongst labourers in different colonies towards the same causal factors (e.g. low wage), resistance acts amongst female labourers (as women and as mothers) in different colonies.</w:t>
      </w:r>
      <w:r w:rsidR="0009278B" w:rsidRPr="00E47A0F">
        <w:rPr>
          <w:rFonts w:ascii="Times New Roman" w:hAnsi="Times New Roman" w:cs="Times New Roman"/>
          <w:sz w:val="24"/>
          <w:szCs w:val="24"/>
        </w:rPr>
        <w:t xml:space="preserve">  The analysis of response using the framework will provide a clearer picture of (i) the </w:t>
      </w:r>
      <w:r w:rsidR="00DD58E4" w:rsidRPr="00E47A0F">
        <w:rPr>
          <w:rFonts w:ascii="Times New Roman" w:hAnsi="Times New Roman" w:cs="Times New Roman"/>
          <w:sz w:val="24"/>
          <w:szCs w:val="24"/>
        </w:rPr>
        <w:t>types</w:t>
      </w:r>
      <w:r w:rsidR="00D2271D" w:rsidRPr="00E47A0F">
        <w:rPr>
          <w:rFonts w:ascii="Times New Roman" w:hAnsi="Times New Roman" w:cs="Times New Roman"/>
          <w:sz w:val="24"/>
          <w:szCs w:val="24"/>
        </w:rPr>
        <w:t xml:space="preserve">, </w:t>
      </w:r>
      <w:r w:rsidR="00DD58E4" w:rsidRPr="00E47A0F">
        <w:rPr>
          <w:rFonts w:ascii="Times New Roman" w:hAnsi="Times New Roman" w:cs="Times New Roman"/>
          <w:sz w:val="24"/>
          <w:szCs w:val="24"/>
        </w:rPr>
        <w:t>expressions</w:t>
      </w:r>
      <w:r w:rsidR="0009278B" w:rsidRPr="00E47A0F">
        <w:rPr>
          <w:rFonts w:ascii="Times New Roman" w:hAnsi="Times New Roman" w:cs="Times New Roman"/>
          <w:sz w:val="24"/>
          <w:szCs w:val="24"/>
        </w:rPr>
        <w:t xml:space="preserve"> of response</w:t>
      </w:r>
      <w:r w:rsidR="00CE19AA" w:rsidRPr="00E47A0F">
        <w:rPr>
          <w:rFonts w:ascii="Times New Roman" w:hAnsi="Times New Roman" w:cs="Times New Roman"/>
          <w:sz w:val="24"/>
          <w:szCs w:val="24"/>
        </w:rPr>
        <w:t>, (ii) the contexts within which these responses were located</w:t>
      </w:r>
      <w:r w:rsidR="0009278B" w:rsidRPr="00E47A0F">
        <w:rPr>
          <w:rFonts w:ascii="Times New Roman" w:hAnsi="Times New Roman" w:cs="Times New Roman"/>
          <w:sz w:val="24"/>
          <w:szCs w:val="24"/>
        </w:rPr>
        <w:t xml:space="preserve"> and (</w:t>
      </w:r>
      <w:r w:rsidR="00CE19AA" w:rsidRPr="00E47A0F">
        <w:rPr>
          <w:rFonts w:ascii="Times New Roman" w:hAnsi="Times New Roman" w:cs="Times New Roman"/>
          <w:sz w:val="24"/>
          <w:szCs w:val="24"/>
        </w:rPr>
        <w:t>i</w:t>
      </w:r>
      <w:r w:rsidR="0009278B" w:rsidRPr="00E47A0F">
        <w:rPr>
          <w:rFonts w:ascii="Times New Roman" w:hAnsi="Times New Roman" w:cs="Times New Roman"/>
          <w:sz w:val="24"/>
          <w:szCs w:val="24"/>
        </w:rPr>
        <w:t xml:space="preserve">ii) the </w:t>
      </w:r>
      <w:r w:rsidR="00DD58E4" w:rsidRPr="00E47A0F">
        <w:rPr>
          <w:rFonts w:ascii="Times New Roman" w:hAnsi="Times New Roman" w:cs="Times New Roman"/>
          <w:sz w:val="24"/>
          <w:szCs w:val="24"/>
        </w:rPr>
        <w:t>types</w:t>
      </w:r>
      <w:r w:rsidR="0009278B" w:rsidRPr="00E47A0F">
        <w:rPr>
          <w:rFonts w:ascii="Times New Roman" w:hAnsi="Times New Roman" w:cs="Times New Roman"/>
          <w:sz w:val="24"/>
          <w:szCs w:val="24"/>
        </w:rPr>
        <w:t xml:space="preserve"> and expressions of causal factors that the labourers could and did react against.  Such an approach will keep the study firmly situated within the multilayers of complexity within which the labourers lived and worked.  </w:t>
      </w:r>
    </w:p>
    <w:p w14:paraId="0199D35F" w14:textId="4CA9AB9A" w:rsidR="0009278B" w:rsidRPr="00E47A0F" w:rsidRDefault="26059513" w:rsidP="008036F8">
      <w:pPr>
        <w:spacing w:after="0" w:line="360" w:lineRule="auto"/>
        <w:ind w:firstLine="720"/>
        <w:jc w:val="both"/>
        <w:rPr>
          <w:rFonts w:ascii="Times New Roman" w:hAnsi="Times New Roman" w:cs="Times New Roman"/>
        </w:rPr>
      </w:pPr>
      <w:r w:rsidRPr="26059513">
        <w:rPr>
          <w:rFonts w:ascii="Times New Roman" w:eastAsia="Times New Roman" w:hAnsi="Times New Roman" w:cs="Times New Roman"/>
          <w:color w:val="222222"/>
          <w:sz w:val="24"/>
          <w:szCs w:val="24"/>
          <w:lang w:eastAsia="en-NZ"/>
        </w:rPr>
        <w:t xml:space="preserve">Two much needed areas of study that would benefit from the framework are: the life course approach, which measures the impact of girmit on different stages of a person's life from the point at which they entered the plantation environment.  Hence, for those born on the plantation, this could be from birth through, infancy, adolescence, and into adulthood.  </w:t>
      </w:r>
      <w:r w:rsidRPr="26059513">
        <w:rPr>
          <w:rFonts w:ascii="Times New Roman" w:hAnsi="Times New Roman" w:cs="Times New Roman"/>
          <w:sz w:val="24"/>
          <w:szCs w:val="24"/>
        </w:rPr>
        <w:t xml:space="preserve">Another </w:t>
      </w:r>
      <w:r w:rsidRPr="26059513">
        <w:rPr>
          <w:rFonts w:ascii="Times New Roman" w:hAnsi="Times New Roman" w:cs="Times New Roman"/>
          <w:noProof/>
          <w:sz w:val="24"/>
          <w:szCs w:val="24"/>
        </w:rPr>
        <w:t>much-needed</w:t>
      </w:r>
      <w:r w:rsidRPr="26059513">
        <w:rPr>
          <w:rFonts w:ascii="Times New Roman" w:hAnsi="Times New Roman" w:cs="Times New Roman"/>
          <w:sz w:val="24"/>
          <w:szCs w:val="24"/>
        </w:rPr>
        <w:t xml:space="preserve"> area of investigation is the comparative analysis of the lives of plantation-based infants and children.  </w:t>
      </w:r>
    </w:p>
    <w:p w14:paraId="10C27E1D" w14:textId="16C8B989" w:rsidR="00C07F0E" w:rsidRPr="00E47A0F" w:rsidRDefault="26059513" w:rsidP="008036F8">
      <w:pPr>
        <w:spacing w:line="360" w:lineRule="auto"/>
        <w:ind w:firstLine="720"/>
        <w:jc w:val="both"/>
        <w:rPr>
          <w:rFonts w:ascii="Times New Roman" w:eastAsia="Times New Roman" w:hAnsi="Times New Roman" w:cs="Times New Roman"/>
          <w:color w:val="222222"/>
          <w:sz w:val="24"/>
          <w:szCs w:val="24"/>
          <w:lang w:eastAsia="en-NZ"/>
        </w:rPr>
      </w:pPr>
      <w:r w:rsidRPr="26059513">
        <w:rPr>
          <w:rFonts w:ascii="Times New Roman" w:eastAsia="Times New Roman" w:hAnsi="Times New Roman" w:cs="Times New Roman"/>
          <w:color w:val="222222"/>
          <w:sz w:val="24"/>
          <w:szCs w:val="24"/>
          <w:lang w:eastAsia="en-NZ"/>
        </w:rPr>
        <w:t>S</w:t>
      </w:r>
      <w:r w:rsidRPr="26059513">
        <w:rPr>
          <w:rFonts w:ascii="Times New Roman" w:hAnsi="Times New Roman" w:cs="Times New Roman"/>
          <w:noProof/>
          <w:sz w:val="24"/>
          <w:szCs w:val="24"/>
        </w:rPr>
        <w:t>ocial</w:t>
      </w:r>
      <w:r w:rsidRPr="26059513">
        <w:rPr>
          <w:rFonts w:ascii="Times New Roman" w:hAnsi="Times New Roman" w:cs="Times New Roman"/>
          <w:sz w:val="24"/>
          <w:szCs w:val="24"/>
        </w:rPr>
        <w:t xml:space="preserve"> position influences not just an individual’s experience of resource access, rather, </w:t>
      </w:r>
      <w:r w:rsidR="006B2F4A">
        <w:rPr>
          <w:rFonts w:ascii="Times New Roman" w:hAnsi="Times New Roman" w:cs="Times New Roman"/>
          <w:sz w:val="24"/>
          <w:szCs w:val="24"/>
        </w:rPr>
        <w:t>it</w:t>
      </w:r>
      <w:r w:rsidRPr="26059513">
        <w:rPr>
          <w:rFonts w:ascii="Times New Roman" w:hAnsi="Times New Roman" w:cs="Times New Roman"/>
          <w:sz w:val="24"/>
          <w:szCs w:val="24"/>
        </w:rPr>
        <w:t xml:space="preserve"> can have an ongoing intergenerational impact</w:t>
      </w:r>
      <w:r w:rsidR="006B2F4A">
        <w:rPr>
          <w:rFonts w:ascii="Times New Roman" w:hAnsi="Times New Roman" w:cs="Times New Roman"/>
          <w:sz w:val="24"/>
          <w:szCs w:val="24"/>
        </w:rPr>
        <w:t>.  We see the impact of resource inaccess on</w:t>
      </w:r>
      <w:r w:rsidRPr="26059513">
        <w:rPr>
          <w:rFonts w:ascii="Times New Roman" w:hAnsi="Times New Roman" w:cs="Times New Roman"/>
          <w:sz w:val="24"/>
          <w:szCs w:val="24"/>
        </w:rPr>
        <w:t xml:space="preserve"> </w:t>
      </w:r>
      <w:r w:rsidRPr="26059513">
        <w:rPr>
          <w:rFonts w:ascii="Times New Roman" w:hAnsi="Times New Roman" w:cs="Times New Roman"/>
          <w:sz w:val="24"/>
          <w:szCs w:val="24"/>
        </w:rPr>
        <w:lastRenderedPageBreak/>
        <w:t>the labourers</w:t>
      </w:r>
      <w:r w:rsidR="006B2F4A">
        <w:rPr>
          <w:rFonts w:ascii="Times New Roman" w:hAnsi="Times New Roman" w:cs="Times New Roman"/>
          <w:sz w:val="24"/>
          <w:szCs w:val="24"/>
        </w:rPr>
        <w:t xml:space="preserve">, </w:t>
      </w:r>
      <w:r w:rsidRPr="26059513">
        <w:rPr>
          <w:rFonts w:ascii="Times New Roman" w:hAnsi="Times New Roman" w:cs="Times New Roman"/>
          <w:sz w:val="24"/>
          <w:szCs w:val="24"/>
        </w:rPr>
        <w:t>their infants and children</w:t>
      </w:r>
      <w:r w:rsidR="006B2F4A">
        <w:rPr>
          <w:rFonts w:ascii="Times New Roman" w:hAnsi="Times New Roman" w:cs="Times New Roman"/>
          <w:sz w:val="24"/>
          <w:szCs w:val="24"/>
        </w:rPr>
        <w:t xml:space="preserve">.  Hence, </w:t>
      </w:r>
      <w:r w:rsidRPr="26059513">
        <w:rPr>
          <w:rFonts w:ascii="Times New Roman" w:eastAsia="Times New Roman" w:hAnsi="Times New Roman" w:cs="Times New Roman"/>
          <w:color w:val="222222"/>
          <w:sz w:val="24"/>
          <w:szCs w:val="24"/>
          <w:lang w:eastAsia="en-NZ"/>
        </w:rPr>
        <w:t>(iv) the framework allows for the consideration of the perpetuation of intergenerational resource inaccess and the resultant intergenerational adverse health outcomes.  </w:t>
      </w:r>
    </w:p>
    <w:p w14:paraId="50A823DC" w14:textId="670706B0" w:rsidR="0009278B" w:rsidRPr="00E47A0F" w:rsidRDefault="0009278B" w:rsidP="008036F8">
      <w:pPr>
        <w:spacing w:line="360" w:lineRule="auto"/>
        <w:ind w:firstLine="720"/>
        <w:jc w:val="both"/>
        <w:rPr>
          <w:rFonts w:ascii="Times New Roman" w:eastAsia="Times New Roman" w:hAnsi="Times New Roman" w:cs="Times New Roman"/>
          <w:color w:val="222222"/>
          <w:sz w:val="24"/>
          <w:szCs w:val="24"/>
          <w:lang w:eastAsia="en-NZ"/>
        </w:rPr>
      </w:pPr>
      <w:r w:rsidRPr="00E47A0F">
        <w:rPr>
          <w:rFonts w:ascii="Times New Roman" w:eastAsia="Times New Roman" w:hAnsi="Times New Roman" w:cs="Times New Roman"/>
          <w:color w:val="222222"/>
          <w:sz w:val="24"/>
          <w:szCs w:val="24"/>
          <w:lang w:eastAsia="en-NZ"/>
        </w:rPr>
        <w:t xml:space="preserve">The </w:t>
      </w:r>
      <w:r w:rsidR="004C2EC3" w:rsidRPr="00E47A0F">
        <w:rPr>
          <w:rFonts w:ascii="Times New Roman" w:eastAsia="Times New Roman" w:hAnsi="Times New Roman" w:cs="Times New Roman"/>
          <w:color w:val="222222"/>
          <w:sz w:val="24"/>
          <w:szCs w:val="24"/>
          <w:lang w:eastAsia="en-NZ"/>
        </w:rPr>
        <w:t xml:space="preserve">application of the framework </w:t>
      </w:r>
      <w:r w:rsidR="002648E1" w:rsidRPr="00217D27">
        <w:rPr>
          <w:rFonts w:ascii="Times New Roman" w:eastAsia="Times New Roman" w:hAnsi="Times New Roman" w:cs="Times New Roman"/>
          <w:color w:val="222222"/>
          <w:sz w:val="24"/>
          <w:szCs w:val="24"/>
          <w:lang w:eastAsia="en-NZ"/>
        </w:rPr>
        <w:t xml:space="preserve">is not limited to the historical </w:t>
      </w:r>
      <w:r w:rsidR="002648E1">
        <w:rPr>
          <w:rFonts w:ascii="Times New Roman" w:eastAsia="Times New Roman" w:hAnsi="Times New Roman" w:cs="Times New Roman"/>
          <w:color w:val="222222"/>
          <w:sz w:val="24"/>
          <w:szCs w:val="24"/>
          <w:lang w:eastAsia="en-NZ"/>
        </w:rPr>
        <w:t>presence of inequalities</w:t>
      </w:r>
      <w:r w:rsidR="00C23FFC">
        <w:rPr>
          <w:rFonts w:ascii="Times New Roman" w:eastAsia="Times New Roman" w:hAnsi="Times New Roman" w:cs="Times New Roman"/>
          <w:color w:val="222222"/>
          <w:sz w:val="24"/>
          <w:szCs w:val="24"/>
          <w:lang w:eastAsia="en-NZ"/>
        </w:rPr>
        <w:t xml:space="preserve">, </w:t>
      </w:r>
      <w:r w:rsidR="002648E1">
        <w:rPr>
          <w:rFonts w:ascii="Times New Roman" w:eastAsia="Times New Roman" w:hAnsi="Times New Roman" w:cs="Times New Roman"/>
          <w:color w:val="222222"/>
          <w:sz w:val="24"/>
          <w:szCs w:val="24"/>
          <w:lang w:eastAsia="en-NZ"/>
        </w:rPr>
        <w:t>consequences</w:t>
      </w:r>
      <w:r w:rsidR="00C23FFC">
        <w:rPr>
          <w:rFonts w:ascii="Times New Roman" w:eastAsia="Times New Roman" w:hAnsi="Times New Roman" w:cs="Times New Roman"/>
          <w:color w:val="222222"/>
          <w:sz w:val="24"/>
          <w:szCs w:val="24"/>
          <w:lang w:eastAsia="en-NZ"/>
        </w:rPr>
        <w:t xml:space="preserve"> and response</w:t>
      </w:r>
      <w:r w:rsidR="004C2EC3" w:rsidRPr="00E47A0F">
        <w:rPr>
          <w:rFonts w:ascii="Times New Roman" w:eastAsia="Times New Roman" w:hAnsi="Times New Roman" w:cs="Times New Roman"/>
          <w:color w:val="222222"/>
          <w:sz w:val="24"/>
          <w:szCs w:val="24"/>
          <w:lang w:eastAsia="en-NZ"/>
        </w:rPr>
        <w:t xml:space="preserve">.  The </w:t>
      </w:r>
      <w:r w:rsidRPr="00E47A0F">
        <w:rPr>
          <w:rFonts w:ascii="Times New Roman" w:eastAsia="Times New Roman" w:hAnsi="Times New Roman" w:cs="Times New Roman"/>
          <w:color w:val="222222"/>
          <w:sz w:val="24"/>
          <w:szCs w:val="24"/>
          <w:lang w:eastAsia="en-NZ"/>
        </w:rPr>
        <w:t xml:space="preserve">framework also allows for a comparison between indenture and post-indenture health outcomes to determine what causal factors and their manifestations were limited to the </w:t>
      </w:r>
      <w:r w:rsidRPr="00E47A0F">
        <w:rPr>
          <w:rFonts w:ascii="Times New Roman" w:eastAsia="Times New Roman" w:hAnsi="Times New Roman" w:cs="Times New Roman"/>
          <w:noProof/>
          <w:color w:val="222222"/>
          <w:sz w:val="24"/>
          <w:szCs w:val="24"/>
          <w:lang w:eastAsia="en-NZ"/>
        </w:rPr>
        <w:t>plantation</w:t>
      </w:r>
      <w:r w:rsidRPr="00E47A0F">
        <w:rPr>
          <w:rFonts w:ascii="Times New Roman" w:eastAsia="Times New Roman" w:hAnsi="Times New Roman" w:cs="Times New Roman"/>
          <w:color w:val="222222"/>
          <w:sz w:val="24"/>
          <w:szCs w:val="24"/>
          <w:lang w:eastAsia="en-NZ"/>
        </w:rPr>
        <w:t xml:space="preserve"> and those factors that persisted from the indenture plantation environment to post-indenture populations.  Such an approach will allow the analysis of health from indenture into the diasporas of today.  </w:t>
      </w:r>
    </w:p>
    <w:bookmarkEnd w:id="14"/>
    <w:p w14:paraId="60061E4C" w14:textId="77777777" w:rsidR="0009278B" w:rsidRPr="00E47A0F" w:rsidRDefault="0009278B" w:rsidP="008036F8">
      <w:pPr>
        <w:spacing w:line="360" w:lineRule="auto"/>
        <w:ind w:firstLine="720"/>
        <w:jc w:val="both"/>
        <w:rPr>
          <w:rFonts w:ascii="Times New Roman" w:hAnsi="Times New Roman" w:cs="Times New Roman"/>
          <w:color w:val="222222"/>
          <w:sz w:val="24"/>
          <w:szCs w:val="24"/>
          <w:shd w:val="clear" w:color="auto" w:fill="FFFFFF"/>
        </w:rPr>
      </w:pPr>
    </w:p>
    <w:p w14:paraId="190EF5D9" w14:textId="7DF9F78E" w:rsidR="65988FD8" w:rsidRPr="00E47A0F" w:rsidRDefault="003C6E28" w:rsidP="008036F8">
      <w:pPr>
        <w:pStyle w:val="Heading1"/>
        <w:jc w:val="both"/>
        <w:rPr>
          <w:rFonts w:ascii="Times New Roman" w:hAnsi="Times New Roman" w:cs="Times New Roman"/>
        </w:rPr>
      </w:pPr>
      <w:r w:rsidRPr="00E47A0F">
        <w:rPr>
          <w:rFonts w:ascii="Times New Roman" w:hAnsi="Times New Roman" w:cs="Times New Roman"/>
          <w:sz w:val="24"/>
          <w:szCs w:val="24"/>
        </w:rPr>
        <w:br w:type="column"/>
      </w:r>
      <w:r w:rsidR="65988FD8" w:rsidRPr="00E47A0F">
        <w:rPr>
          <w:rStyle w:val="Heading1Char"/>
          <w:rFonts w:ascii="Times New Roman" w:hAnsi="Times New Roman" w:cs="Times New Roman"/>
        </w:rPr>
        <w:lastRenderedPageBreak/>
        <w:t>References</w:t>
      </w:r>
    </w:p>
    <w:p w14:paraId="73D970FE" w14:textId="5F32D6CF"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Ali, Ahmed. </w:t>
      </w:r>
      <w:r w:rsidR="00816361"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2004</w:t>
      </w:r>
      <w:r w:rsidR="00816361"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 xml:space="preserve">Girmit: Indian Indenture Experience in Fiji. </w:t>
      </w:r>
      <w:r w:rsidRPr="00E47A0F">
        <w:rPr>
          <w:rFonts w:ascii="Times New Roman" w:eastAsia="Times New Roman" w:hAnsi="Times New Roman" w:cs="Times New Roman"/>
          <w:sz w:val="24"/>
          <w:szCs w:val="24"/>
        </w:rPr>
        <w:t xml:space="preserve"> Suva, Fiji: Fiji Museum; Ministry of National Reconciliation and Multi-Ethnic Affairs.</w:t>
      </w:r>
    </w:p>
    <w:p w14:paraId="77D0B190" w14:textId="77777777"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hAnsi="Times New Roman" w:cs="Times New Roman"/>
          <w:sz w:val="24"/>
          <w:szCs w:val="24"/>
          <w:shd w:val="clear" w:color="auto" w:fill="FFFFFF"/>
        </w:rPr>
        <w:t>Braun, V., &amp; Clarke, V. (2006). Using thematic analysis in psychology. </w:t>
      </w:r>
      <w:r w:rsidRPr="00E47A0F">
        <w:rPr>
          <w:rFonts w:ascii="Times New Roman" w:hAnsi="Times New Roman" w:cs="Times New Roman"/>
          <w:i/>
          <w:iCs/>
          <w:sz w:val="24"/>
          <w:szCs w:val="24"/>
          <w:shd w:val="clear" w:color="auto" w:fill="FFFFFF"/>
        </w:rPr>
        <w:t>Qualitative Research in Psychology</w:t>
      </w:r>
      <w:r w:rsidRPr="00E47A0F">
        <w:rPr>
          <w:rFonts w:ascii="Times New Roman" w:hAnsi="Times New Roman" w:cs="Times New Roman"/>
          <w:sz w:val="24"/>
          <w:szCs w:val="24"/>
          <w:shd w:val="clear" w:color="auto" w:fill="FFFFFF"/>
        </w:rPr>
        <w:t>, </w:t>
      </w:r>
      <w:r w:rsidRPr="00E47A0F">
        <w:rPr>
          <w:rFonts w:ascii="Times New Roman" w:hAnsi="Times New Roman" w:cs="Times New Roman"/>
          <w:i/>
          <w:iCs/>
          <w:sz w:val="24"/>
          <w:szCs w:val="24"/>
          <w:shd w:val="clear" w:color="auto" w:fill="FFFFFF"/>
        </w:rPr>
        <w:t>3</w:t>
      </w:r>
      <w:r w:rsidRPr="00E47A0F">
        <w:rPr>
          <w:rFonts w:ascii="Times New Roman" w:hAnsi="Times New Roman" w:cs="Times New Roman"/>
          <w:sz w:val="24"/>
          <w:szCs w:val="24"/>
          <w:shd w:val="clear" w:color="auto" w:fill="FFFFFF"/>
        </w:rPr>
        <w:t>(2), 77-101.</w:t>
      </w:r>
    </w:p>
    <w:p w14:paraId="1C38D3BB" w14:textId="3C744AA6"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Brooks-Gunn, J., &amp; Duncan, G. J. (1997). The effects of poverty on children. </w:t>
      </w:r>
      <w:r w:rsidRPr="00E47A0F">
        <w:rPr>
          <w:rFonts w:ascii="Times New Roman" w:eastAsia="Times New Roman" w:hAnsi="Times New Roman" w:cs="Times New Roman"/>
          <w:i/>
          <w:iCs/>
          <w:sz w:val="24"/>
          <w:szCs w:val="24"/>
        </w:rPr>
        <w:t xml:space="preserve">The </w:t>
      </w:r>
      <w:r w:rsidR="00656DAB" w:rsidRPr="00E47A0F">
        <w:rPr>
          <w:rFonts w:ascii="Times New Roman" w:eastAsia="Times New Roman" w:hAnsi="Times New Roman" w:cs="Times New Roman"/>
          <w:i/>
          <w:iCs/>
          <w:sz w:val="24"/>
          <w:szCs w:val="24"/>
        </w:rPr>
        <w:t>F</w:t>
      </w:r>
      <w:r w:rsidRPr="00E47A0F">
        <w:rPr>
          <w:rFonts w:ascii="Times New Roman" w:eastAsia="Times New Roman" w:hAnsi="Times New Roman" w:cs="Times New Roman"/>
          <w:i/>
          <w:iCs/>
          <w:sz w:val="24"/>
          <w:szCs w:val="24"/>
        </w:rPr>
        <w:t xml:space="preserve">uture of </w:t>
      </w:r>
      <w:r w:rsidR="00656DAB" w:rsidRPr="00E47A0F">
        <w:rPr>
          <w:rFonts w:ascii="Times New Roman" w:eastAsia="Times New Roman" w:hAnsi="Times New Roman" w:cs="Times New Roman"/>
          <w:i/>
          <w:iCs/>
          <w:sz w:val="24"/>
          <w:szCs w:val="24"/>
        </w:rPr>
        <w:t>C</w:t>
      </w:r>
      <w:r w:rsidRPr="00E47A0F">
        <w:rPr>
          <w:rFonts w:ascii="Times New Roman" w:eastAsia="Times New Roman" w:hAnsi="Times New Roman" w:cs="Times New Roman"/>
          <w:i/>
          <w:iCs/>
          <w:sz w:val="24"/>
          <w:szCs w:val="24"/>
        </w:rPr>
        <w:t>hildren</w:t>
      </w:r>
      <w:r w:rsidRPr="00E47A0F">
        <w:rPr>
          <w:rFonts w:ascii="Times New Roman" w:eastAsia="Times New Roman" w:hAnsi="Times New Roman" w:cs="Times New Roman"/>
          <w:sz w:val="24"/>
          <w:szCs w:val="24"/>
        </w:rPr>
        <w:t>, 55-71.</w:t>
      </w:r>
    </w:p>
    <w:p w14:paraId="4B1F6E7F" w14:textId="68A3F118"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Case, A., Fertig, A., &amp; Paxson, C. (2005). The lasting impact of childhood health and circumstance. </w:t>
      </w:r>
      <w:r w:rsidRPr="00E47A0F">
        <w:rPr>
          <w:rFonts w:ascii="Times New Roman" w:eastAsia="Times New Roman" w:hAnsi="Times New Roman" w:cs="Times New Roman"/>
          <w:i/>
          <w:iCs/>
          <w:sz w:val="24"/>
          <w:szCs w:val="24"/>
        </w:rPr>
        <w:t xml:space="preserve">Journal of </w:t>
      </w:r>
      <w:r w:rsidR="00656DAB" w:rsidRPr="00E47A0F">
        <w:rPr>
          <w:rFonts w:ascii="Times New Roman" w:eastAsia="Times New Roman" w:hAnsi="Times New Roman" w:cs="Times New Roman"/>
          <w:i/>
          <w:iCs/>
          <w:sz w:val="24"/>
          <w:szCs w:val="24"/>
        </w:rPr>
        <w:t>H</w:t>
      </w:r>
      <w:r w:rsidRPr="00E47A0F">
        <w:rPr>
          <w:rFonts w:ascii="Times New Roman" w:eastAsia="Times New Roman" w:hAnsi="Times New Roman" w:cs="Times New Roman"/>
          <w:i/>
          <w:iCs/>
          <w:sz w:val="24"/>
          <w:szCs w:val="24"/>
        </w:rPr>
        <w:t xml:space="preserve">ealth </w:t>
      </w:r>
      <w:r w:rsidR="00656DAB" w:rsidRPr="00E47A0F">
        <w:rPr>
          <w:rFonts w:ascii="Times New Roman" w:eastAsia="Times New Roman" w:hAnsi="Times New Roman" w:cs="Times New Roman"/>
          <w:i/>
          <w:iCs/>
          <w:sz w:val="24"/>
          <w:szCs w:val="24"/>
        </w:rPr>
        <w:t>E</w:t>
      </w:r>
      <w:r w:rsidRPr="00E47A0F">
        <w:rPr>
          <w:rFonts w:ascii="Times New Roman" w:eastAsia="Times New Roman" w:hAnsi="Times New Roman" w:cs="Times New Roman"/>
          <w:i/>
          <w:iCs/>
          <w:sz w:val="24"/>
          <w:szCs w:val="24"/>
        </w:rPr>
        <w:t>conomics</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24</w:t>
      </w:r>
      <w:r w:rsidRPr="00E47A0F">
        <w:rPr>
          <w:rFonts w:ascii="Times New Roman" w:eastAsia="Times New Roman" w:hAnsi="Times New Roman" w:cs="Times New Roman"/>
          <w:sz w:val="24"/>
          <w:szCs w:val="24"/>
        </w:rPr>
        <w:t>(2), 365-389.</w:t>
      </w:r>
    </w:p>
    <w:p w14:paraId="0FDED582" w14:textId="66196FAA"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Derose, K. P., Escarce, J. J., &amp; Lurie, N. (2007). Immigrants and health care: sources of vulnerability. </w:t>
      </w:r>
      <w:r w:rsidRPr="00E47A0F">
        <w:rPr>
          <w:rFonts w:ascii="Times New Roman" w:eastAsia="Times New Roman" w:hAnsi="Times New Roman" w:cs="Times New Roman"/>
          <w:i/>
          <w:iCs/>
          <w:sz w:val="24"/>
          <w:szCs w:val="24"/>
        </w:rPr>
        <w:t xml:space="preserve">Health </w:t>
      </w:r>
      <w:r w:rsidR="00656DAB" w:rsidRPr="00E47A0F">
        <w:rPr>
          <w:rFonts w:ascii="Times New Roman" w:eastAsia="Times New Roman" w:hAnsi="Times New Roman" w:cs="Times New Roman"/>
          <w:i/>
          <w:iCs/>
          <w:sz w:val="24"/>
          <w:szCs w:val="24"/>
        </w:rPr>
        <w:t>A</w:t>
      </w:r>
      <w:r w:rsidRPr="00E47A0F">
        <w:rPr>
          <w:rFonts w:ascii="Times New Roman" w:eastAsia="Times New Roman" w:hAnsi="Times New Roman" w:cs="Times New Roman"/>
          <w:i/>
          <w:iCs/>
          <w:sz w:val="24"/>
          <w:szCs w:val="24"/>
        </w:rPr>
        <w:t>ffairs</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26</w:t>
      </w:r>
      <w:r w:rsidRPr="00E47A0F">
        <w:rPr>
          <w:rFonts w:ascii="Times New Roman" w:eastAsia="Times New Roman" w:hAnsi="Times New Roman" w:cs="Times New Roman"/>
          <w:sz w:val="24"/>
          <w:szCs w:val="24"/>
        </w:rPr>
        <w:t>(5), 1258-1268</w:t>
      </w:r>
    </w:p>
    <w:p w14:paraId="72B187C2" w14:textId="7CD13CD6"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Diderichsen, Evans &amp; Whitehead.  (2001). The social basis of disparities in health.  In T. Evans (Ed.).  </w:t>
      </w:r>
      <w:r w:rsidRPr="00E47A0F">
        <w:rPr>
          <w:rFonts w:ascii="Times New Roman" w:eastAsia="Times New Roman" w:hAnsi="Times New Roman" w:cs="Times New Roman"/>
          <w:i/>
          <w:sz w:val="24"/>
          <w:szCs w:val="24"/>
        </w:rPr>
        <w:t>Challenging inequities in health: From ethics to action</w:t>
      </w:r>
      <w:r w:rsidR="005C7FE5" w:rsidRPr="00E47A0F">
        <w:rPr>
          <w:rFonts w:ascii="Times New Roman" w:eastAsia="Times New Roman" w:hAnsi="Times New Roman" w:cs="Times New Roman"/>
          <w:sz w:val="24"/>
          <w:szCs w:val="24"/>
        </w:rPr>
        <w:t xml:space="preserve"> (pp. 12-23).</w:t>
      </w:r>
      <w:r w:rsidRPr="00E47A0F">
        <w:rPr>
          <w:rFonts w:ascii="Times New Roman" w:eastAsia="Times New Roman" w:hAnsi="Times New Roman" w:cs="Times New Roman"/>
          <w:sz w:val="24"/>
          <w:szCs w:val="24"/>
        </w:rPr>
        <w:t xml:space="preserve"> </w:t>
      </w:r>
      <w:r w:rsidR="009D425B" w:rsidRPr="00E47A0F">
        <w:rPr>
          <w:rFonts w:ascii="Times New Roman" w:eastAsia="Times New Roman" w:hAnsi="Times New Roman" w:cs="Times New Roman"/>
          <w:sz w:val="24"/>
          <w:szCs w:val="24"/>
        </w:rPr>
        <w:t xml:space="preserve"> Oxford University Press.</w:t>
      </w:r>
    </w:p>
    <w:p w14:paraId="1FB20BC6" w14:textId="1B58A3A0" w:rsidR="00610903" w:rsidRPr="00E47A0F" w:rsidRDefault="00610903" w:rsidP="008036F8">
      <w:pPr>
        <w:spacing w:line="360" w:lineRule="auto"/>
        <w:ind w:left="720" w:hanging="720"/>
        <w:contextualSpacing/>
        <w:jc w:val="both"/>
        <w:rPr>
          <w:rFonts w:ascii="Times New Roman" w:hAnsi="Times New Roman" w:cs="Times New Roman"/>
          <w:sz w:val="24"/>
          <w:szCs w:val="24"/>
          <w:shd w:val="clear" w:color="auto" w:fill="FFFFFF"/>
        </w:rPr>
      </w:pPr>
      <w:r w:rsidRPr="00E47A0F">
        <w:rPr>
          <w:rFonts w:ascii="Times New Roman" w:hAnsi="Times New Roman" w:cs="Times New Roman"/>
          <w:sz w:val="24"/>
          <w:szCs w:val="24"/>
          <w:shd w:val="clear" w:color="auto" w:fill="FFFFFF"/>
        </w:rPr>
        <w:t>Drukker, M., Kaplan, C., Feron, F., &amp; Van Os, J. (2003). Children's health-related quality of life, neighbourhood socio-economic deprivation and social capital. A contextual analysis. </w:t>
      </w:r>
      <w:r w:rsidRPr="00E47A0F">
        <w:rPr>
          <w:rFonts w:ascii="Times New Roman" w:hAnsi="Times New Roman" w:cs="Times New Roman"/>
          <w:i/>
          <w:iCs/>
          <w:sz w:val="24"/>
          <w:szCs w:val="24"/>
          <w:shd w:val="clear" w:color="auto" w:fill="FFFFFF"/>
        </w:rPr>
        <w:t xml:space="preserve">Social </w:t>
      </w:r>
      <w:r w:rsidR="009D425B" w:rsidRPr="00E47A0F">
        <w:rPr>
          <w:rFonts w:ascii="Times New Roman" w:hAnsi="Times New Roman" w:cs="Times New Roman"/>
          <w:i/>
          <w:iCs/>
          <w:sz w:val="24"/>
          <w:szCs w:val="24"/>
          <w:shd w:val="clear" w:color="auto" w:fill="FFFFFF"/>
        </w:rPr>
        <w:t>S</w:t>
      </w:r>
      <w:r w:rsidRPr="00E47A0F">
        <w:rPr>
          <w:rFonts w:ascii="Times New Roman" w:hAnsi="Times New Roman" w:cs="Times New Roman"/>
          <w:i/>
          <w:iCs/>
          <w:sz w:val="24"/>
          <w:szCs w:val="24"/>
          <w:shd w:val="clear" w:color="auto" w:fill="FFFFFF"/>
        </w:rPr>
        <w:t xml:space="preserve">cience &amp; </w:t>
      </w:r>
      <w:r w:rsidR="009D425B" w:rsidRPr="00E47A0F">
        <w:rPr>
          <w:rFonts w:ascii="Times New Roman" w:hAnsi="Times New Roman" w:cs="Times New Roman"/>
          <w:i/>
          <w:iCs/>
          <w:sz w:val="24"/>
          <w:szCs w:val="24"/>
          <w:shd w:val="clear" w:color="auto" w:fill="FFFFFF"/>
        </w:rPr>
        <w:t>M</w:t>
      </w:r>
      <w:r w:rsidRPr="00E47A0F">
        <w:rPr>
          <w:rFonts w:ascii="Times New Roman" w:hAnsi="Times New Roman" w:cs="Times New Roman"/>
          <w:i/>
          <w:iCs/>
          <w:sz w:val="24"/>
          <w:szCs w:val="24"/>
          <w:shd w:val="clear" w:color="auto" w:fill="FFFFFF"/>
        </w:rPr>
        <w:t>edicine</w:t>
      </w:r>
      <w:r w:rsidRPr="00E47A0F">
        <w:rPr>
          <w:rFonts w:ascii="Times New Roman" w:hAnsi="Times New Roman" w:cs="Times New Roman"/>
          <w:sz w:val="24"/>
          <w:szCs w:val="24"/>
          <w:shd w:val="clear" w:color="auto" w:fill="FFFFFF"/>
        </w:rPr>
        <w:t>, </w:t>
      </w:r>
      <w:r w:rsidRPr="00E47A0F">
        <w:rPr>
          <w:rFonts w:ascii="Times New Roman" w:hAnsi="Times New Roman" w:cs="Times New Roman"/>
          <w:i/>
          <w:iCs/>
          <w:sz w:val="24"/>
          <w:szCs w:val="24"/>
          <w:shd w:val="clear" w:color="auto" w:fill="FFFFFF"/>
        </w:rPr>
        <w:t>57</w:t>
      </w:r>
      <w:r w:rsidRPr="00E47A0F">
        <w:rPr>
          <w:rFonts w:ascii="Times New Roman" w:hAnsi="Times New Roman" w:cs="Times New Roman"/>
          <w:sz w:val="24"/>
          <w:szCs w:val="24"/>
          <w:shd w:val="clear" w:color="auto" w:fill="FFFFFF"/>
        </w:rPr>
        <w:t>(5), 825-841.</w:t>
      </w:r>
    </w:p>
    <w:p w14:paraId="0C7A6CCC" w14:textId="593934EE"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hAnsi="Times New Roman" w:cs="Times New Roman"/>
          <w:sz w:val="24"/>
          <w:szCs w:val="24"/>
          <w:shd w:val="clear" w:color="auto" w:fill="FFFFFF"/>
        </w:rPr>
        <w:t>Ewick, P., &amp; Silbey, S. (2003). Narrating social structure: Stories of resistance to legal authority. </w:t>
      </w:r>
      <w:r w:rsidRPr="00E47A0F">
        <w:rPr>
          <w:rFonts w:ascii="Times New Roman" w:hAnsi="Times New Roman" w:cs="Times New Roman"/>
          <w:i/>
          <w:iCs/>
          <w:sz w:val="24"/>
          <w:szCs w:val="24"/>
          <w:shd w:val="clear" w:color="auto" w:fill="FFFFFF"/>
        </w:rPr>
        <w:t xml:space="preserve">American </w:t>
      </w:r>
      <w:r w:rsidR="009D425B" w:rsidRPr="00E47A0F">
        <w:rPr>
          <w:rFonts w:ascii="Times New Roman" w:hAnsi="Times New Roman" w:cs="Times New Roman"/>
          <w:i/>
          <w:iCs/>
          <w:sz w:val="24"/>
          <w:szCs w:val="24"/>
          <w:shd w:val="clear" w:color="auto" w:fill="FFFFFF"/>
        </w:rPr>
        <w:t>J</w:t>
      </w:r>
      <w:r w:rsidRPr="00E47A0F">
        <w:rPr>
          <w:rFonts w:ascii="Times New Roman" w:hAnsi="Times New Roman" w:cs="Times New Roman"/>
          <w:i/>
          <w:iCs/>
          <w:sz w:val="24"/>
          <w:szCs w:val="24"/>
          <w:shd w:val="clear" w:color="auto" w:fill="FFFFFF"/>
        </w:rPr>
        <w:t xml:space="preserve">ournal of </w:t>
      </w:r>
      <w:r w:rsidR="009D425B" w:rsidRPr="00E47A0F">
        <w:rPr>
          <w:rFonts w:ascii="Times New Roman" w:hAnsi="Times New Roman" w:cs="Times New Roman"/>
          <w:i/>
          <w:iCs/>
          <w:sz w:val="24"/>
          <w:szCs w:val="24"/>
          <w:shd w:val="clear" w:color="auto" w:fill="FFFFFF"/>
        </w:rPr>
        <w:t>S</w:t>
      </w:r>
      <w:r w:rsidRPr="00E47A0F">
        <w:rPr>
          <w:rFonts w:ascii="Times New Roman" w:hAnsi="Times New Roman" w:cs="Times New Roman"/>
          <w:i/>
          <w:iCs/>
          <w:sz w:val="24"/>
          <w:szCs w:val="24"/>
          <w:shd w:val="clear" w:color="auto" w:fill="FFFFFF"/>
        </w:rPr>
        <w:t>ociology</w:t>
      </w:r>
      <w:r w:rsidRPr="00E47A0F">
        <w:rPr>
          <w:rFonts w:ascii="Times New Roman" w:hAnsi="Times New Roman" w:cs="Times New Roman"/>
          <w:sz w:val="24"/>
          <w:szCs w:val="24"/>
          <w:shd w:val="clear" w:color="auto" w:fill="FFFFFF"/>
        </w:rPr>
        <w:t>, </w:t>
      </w:r>
      <w:r w:rsidRPr="00E47A0F">
        <w:rPr>
          <w:rFonts w:ascii="Times New Roman" w:hAnsi="Times New Roman" w:cs="Times New Roman"/>
          <w:i/>
          <w:iCs/>
          <w:sz w:val="24"/>
          <w:szCs w:val="24"/>
          <w:shd w:val="clear" w:color="auto" w:fill="FFFFFF"/>
        </w:rPr>
        <w:t>108</w:t>
      </w:r>
      <w:r w:rsidRPr="00E47A0F">
        <w:rPr>
          <w:rFonts w:ascii="Times New Roman" w:hAnsi="Times New Roman" w:cs="Times New Roman"/>
          <w:sz w:val="24"/>
          <w:szCs w:val="24"/>
          <w:shd w:val="clear" w:color="auto" w:fill="FFFFFF"/>
        </w:rPr>
        <w:t>(6), 1328-1372.</w:t>
      </w:r>
    </w:p>
    <w:p w14:paraId="4FAC749F" w14:textId="3C162A86"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Style w:val="normaltextrun"/>
          <w:rFonts w:ascii="Times New Roman" w:hAnsi="Times New Roman" w:cs="Times New Roman"/>
          <w:sz w:val="24"/>
          <w:szCs w:val="24"/>
          <w:shd w:val="clear" w:color="auto" w:fill="FFFFFF"/>
        </w:rPr>
        <w:t>Fowler, Glen. </w:t>
      </w:r>
      <w:r w:rsidR="00816361" w:rsidRPr="00E47A0F">
        <w:rPr>
          <w:rStyle w:val="normaltextrun"/>
          <w:rFonts w:ascii="Times New Roman" w:hAnsi="Times New Roman" w:cs="Times New Roman"/>
          <w:sz w:val="24"/>
          <w:szCs w:val="24"/>
          <w:shd w:val="clear" w:color="auto" w:fill="FFFFFF"/>
        </w:rPr>
        <w:t xml:space="preserve"> (</w:t>
      </w:r>
      <w:r w:rsidRPr="00E47A0F">
        <w:rPr>
          <w:rStyle w:val="normaltextrun"/>
          <w:rFonts w:ascii="Times New Roman" w:hAnsi="Times New Roman" w:cs="Times New Roman"/>
          <w:sz w:val="24"/>
          <w:szCs w:val="24"/>
          <w:shd w:val="clear" w:color="auto" w:fill="FFFFFF"/>
        </w:rPr>
        <w:t>2000</w:t>
      </w:r>
      <w:r w:rsidR="00816361" w:rsidRPr="00E47A0F">
        <w:rPr>
          <w:rStyle w:val="normaltextrun"/>
          <w:rFonts w:ascii="Times New Roman" w:hAnsi="Times New Roman" w:cs="Times New Roman"/>
          <w:sz w:val="24"/>
          <w:szCs w:val="24"/>
          <w:shd w:val="clear" w:color="auto" w:fill="FFFFFF"/>
        </w:rPr>
        <w:t>)</w:t>
      </w:r>
      <w:r w:rsidRPr="00E47A0F">
        <w:rPr>
          <w:rStyle w:val="normaltextrun"/>
          <w:rFonts w:ascii="Times New Roman" w:hAnsi="Times New Roman" w:cs="Times New Roman"/>
          <w:sz w:val="24"/>
          <w:szCs w:val="24"/>
          <w:shd w:val="clear" w:color="auto" w:fill="FFFFFF"/>
        </w:rPr>
        <w:t>.  A Want of Care: Death and Disease on Fiji Plantations, 1890-1900.  </w:t>
      </w:r>
      <w:r w:rsidR="009D425B" w:rsidRPr="00E47A0F">
        <w:rPr>
          <w:rStyle w:val="spellingerror"/>
          <w:rFonts w:ascii="Times New Roman" w:hAnsi="Times New Roman" w:cs="Times New Roman"/>
          <w:i/>
          <w:iCs/>
          <w:sz w:val="24"/>
          <w:szCs w:val="24"/>
          <w:shd w:val="clear" w:color="auto" w:fill="FFFFFF"/>
        </w:rPr>
        <w:t xml:space="preserve"> </w:t>
      </w:r>
      <w:r w:rsidR="009D425B" w:rsidRPr="00E47A0F">
        <w:rPr>
          <w:rStyle w:val="normaltextrun"/>
          <w:rFonts w:ascii="Times New Roman" w:hAnsi="Times New Roman" w:cs="Times New Roman"/>
          <w:sz w:val="24"/>
          <w:szCs w:val="24"/>
          <w:shd w:val="clear" w:color="auto" w:fill="FFFFFF"/>
        </w:rPr>
        <w:t>In B. V. Lal (Ed.).</w:t>
      </w:r>
      <w:r w:rsidR="009D425B" w:rsidRPr="00E47A0F">
        <w:rPr>
          <w:rStyle w:val="spellingerror"/>
          <w:rFonts w:ascii="Times New Roman" w:hAnsi="Times New Roman" w:cs="Times New Roman"/>
          <w:i/>
          <w:iCs/>
          <w:sz w:val="24"/>
          <w:szCs w:val="24"/>
          <w:shd w:val="clear" w:color="auto" w:fill="FFFFFF"/>
        </w:rPr>
        <w:t xml:space="preserve"> </w:t>
      </w:r>
      <w:r w:rsidRPr="00E47A0F">
        <w:rPr>
          <w:rStyle w:val="spellingerror"/>
          <w:rFonts w:ascii="Times New Roman" w:hAnsi="Times New Roman" w:cs="Times New Roman"/>
          <w:i/>
          <w:iCs/>
          <w:sz w:val="24"/>
          <w:szCs w:val="24"/>
          <w:shd w:val="clear" w:color="auto" w:fill="FFFFFF"/>
        </w:rPr>
        <w:t>Chalo</w:t>
      </w:r>
      <w:r w:rsidRPr="00E47A0F">
        <w:rPr>
          <w:rStyle w:val="normaltextrun"/>
          <w:rFonts w:ascii="Times New Roman" w:hAnsi="Times New Roman" w:cs="Times New Roman"/>
          <w:i/>
          <w:iCs/>
          <w:sz w:val="24"/>
          <w:szCs w:val="24"/>
          <w:shd w:val="clear" w:color="auto" w:fill="FFFFFF"/>
        </w:rPr>
        <w:t> </w:t>
      </w:r>
      <w:r w:rsidRPr="00E47A0F">
        <w:rPr>
          <w:rStyle w:val="spellingerror"/>
          <w:rFonts w:ascii="Times New Roman" w:hAnsi="Times New Roman" w:cs="Times New Roman"/>
          <w:i/>
          <w:iCs/>
          <w:sz w:val="24"/>
          <w:szCs w:val="24"/>
          <w:shd w:val="clear" w:color="auto" w:fill="FFFFFF"/>
        </w:rPr>
        <w:t>Jahaji</w:t>
      </w:r>
      <w:r w:rsidRPr="00E47A0F">
        <w:rPr>
          <w:rStyle w:val="normaltextrun"/>
          <w:rFonts w:ascii="Times New Roman" w:hAnsi="Times New Roman" w:cs="Times New Roman"/>
          <w:i/>
          <w:iCs/>
          <w:sz w:val="24"/>
          <w:szCs w:val="24"/>
          <w:shd w:val="clear" w:color="auto" w:fill="FFFFFF"/>
        </w:rPr>
        <w:t xml:space="preserve">: On a </w:t>
      </w:r>
      <w:r w:rsidR="00925C7F" w:rsidRPr="00E47A0F">
        <w:rPr>
          <w:rStyle w:val="normaltextrun"/>
          <w:rFonts w:ascii="Times New Roman" w:hAnsi="Times New Roman" w:cs="Times New Roman"/>
          <w:i/>
          <w:iCs/>
          <w:sz w:val="24"/>
          <w:szCs w:val="24"/>
          <w:shd w:val="clear" w:color="auto" w:fill="FFFFFF"/>
        </w:rPr>
        <w:t>j</w:t>
      </w:r>
      <w:r w:rsidRPr="00E47A0F">
        <w:rPr>
          <w:rStyle w:val="normaltextrun"/>
          <w:rFonts w:ascii="Times New Roman" w:hAnsi="Times New Roman" w:cs="Times New Roman"/>
          <w:i/>
          <w:iCs/>
          <w:sz w:val="24"/>
          <w:szCs w:val="24"/>
          <w:shd w:val="clear" w:color="auto" w:fill="FFFFFF"/>
        </w:rPr>
        <w:t xml:space="preserve">ourney through </w:t>
      </w:r>
      <w:r w:rsidR="00925C7F" w:rsidRPr="00E47A0F">
        <w:rPr>
          <w:rStyle w:val="normaltextrun"/>
          <w:rFonts w:ascii="Times New Roman" w:hAnsi="Times New Roman" w:cs="Times New Roman"/>
          <w:i/>
          <w:iCs/>
          <w:sz w:val="24"/>
          <w:szCs w:val="24"/>
          <w:shd w:val="clear" w:color="auto" w:fill="FFFFFF"/>
        </w:rPr>
        <w:t>in</w:t>
      </w:r>
      <w:r w:rsidRPr="00E47A0F">
        <w:rPr>
          <w:rStyle w:val="normaltextrun"/>
          <w:rFonts w:ascii="Times New Roman" w:hAnsi="Times New Roman" w:cs="Times New Roman"/>
          <w:i/>
          <w:iCs/>
          <w:sz w:val="24"/>
          <w:szCs w:val="24"/>
          <w:shd w:val="clear" w:color="auto" w:fill="FFFFFF"/>
        </w:rPr>
        <w:t>denture in Fiji</w:t>
      </w:r>
      <w:r w:rsidRPr="00E47A0F">
        <w:rPr>
          <w:rStyle w:val="normaltextrun"/>
          <w:rFonts w:ascii="Times New Roman" w:hAnsi="Times New Roman" w:cs="Times New Roman"/>
          <w:sz w:val="24"/>
          <w:szCs w:val="24"/>
          <w:shd w:val="clear" w:color="auto" w:fill="FFFFFF"/>
        </w:rPr>
        <w:t> </w:t>
      </w:r>
      <w:r w:rsidR="009D425B" w:rsidRPr="00E47A0F">
        <w:rPr>
          <w:rStyle w:val="normaltextrun"/>
          <w:rFonts w:ascii="Times New Roman" w:hAnsi="Times New Roman" w:cs="Times New Roman"/>
          <w:sz w:val="24"/>
          <w:szCs w:val="24"/>
          <w:shd w:val="clear" w:color="auto" w:fill="FFFFFF"/>
        </w:rPr>
        <w:t>(pp. 273-90).  Canberra: ANU E-Press.</w:t>
      </w:r>
      <w:r w:rsidRPr="00E47A0F">
        <w:rPr>
          <w:rStyle w:val="normaltextrun"/>
          <w:rFonts w:ascii="Times New Roman" w:hAnsi="Times New Roman" w:cs="Times New Roman"/>
          <w:sz w:val="24"/>
          <w:szCs w:val="24"/>
          <w:shd w:val="clear" w:color="auto" w:fill="FFFFFF"/>
        </w:rPr>
        <w:t>    </w:t>
      </w:r>
      <w:r w:rsidRPr="00E47A0F">
        <w:rPr>
          <w:rStyle w:val="eop"/>
          <w:rFonts w:ascii="Times New Roman" w:hAnsi="Times New Roman" w:cs="Times New Roman"/>
          <w:sz w:val="24"/>
          <w:szCs w:val="24"/>
          <w:shd w:val="clear" w:color="auto" w:fill="FFFFFF"/>
        </w:rPr>
        <w:t> </w:t>
      </w:r>
      <w:r w:rsidRPr="00E47A0F">
        <w:rPr>
          <w:rFonts w:ascii="Times New Roman" w:hAnsi="Times New Roman" w:cs="Times New Roman"/>
          <w:sz w:val="24"/>
          <w:szCs w:val="24"/>
        </w:rPr>
        <w:t xml:space="preserve"> </w:t>
      </w:r>
    </w:p>
    <w:p w14:paraId="2602DF8A" w14:textId="7010E4B8" w:rsidR="00610903" w:rsidRPr="00E47A0F" w:rsidRDefault="00610903" w:rsidP="008036F8">
      <w:pPr>
        <w:spacing w:line="360" w:lineRule="auto"/>
        <w:ind w:left="720" w:hanging="720"/>
        <w:contextualSpacing/>
        <w:jc w:val="both"/>
        <w:rPr>
          <w:rFonts w:ascii="Times New Roman" w:eastAsia="Times New Roman" w:hAnsi="Times New Roman" w:cs="Times New Roman"/>
          <w:sz w:val="24"/>
          <w:szCs w:val="24"/>
        </w:rPr>
      </w:pPr>
      <w:r w:rsidRPr="00E47A0F">
        <w:rPr>
          <w:rStyle w:val="normaltextrun"/>
          <w:rFonts w:ascii="Times New Roman" w:hAnsi="Times New Roman" w:cs="Times New Roman"/>
          <w:sz w:val="24"/>
          <w:szCs w:val="24"/>
          <w:shd w:val="clear" w:color="auto" w:fill="FFFFFF"/>
        </w:rPr>
        <w:t xml:space="preserve">Gillion, Kenneth. L. </w:t>
      </w:r>
      <w:r w:rsidR="00816361" w:rsidRPr="00E47A0F">
        <w:rPr>
          <w:rStyle w:val="normaltextrun"/>
          <w:rFonts w:ascii="Times New Roman" w:hAnsi="Times New Roman" w:cs="Times New Roman"/>
          <w:sz w:val="24"/>
          <w:szCs w:val="24"/>
          <w:shd w:val="clear" w:color="auto" w:fill="FFFFFF"/>
        </w:rPr>
        <w:t xml:space="preserve"> (</w:t>
      </w:r>
      <w:r w:rsidRPr="00E47A0F">
        <w:rPr>
          <w:rStyle w:val="normaltextrun"/>
          <w:rFonts w:ascii="Times New Roman" w:hAnsi="Times New Roman" w:cs="Times New Roman"/>
          <w:sz w:val="24"/>
          <w:szCs w:val="24"/>
          <w:shd w:val="clear" w:color="auto" w:fill="FFFFFF"/>
        </w:rPr>
        <w:t>1962</w:t>
      </w:r>
      <w:r w:rsidR="00816361" w:rsidRPr="00E47A0F">
        <w:rPr>
          <w:rStyle w:val="normaltextrun"/>
          <w:rFonts w:ascii="Times New Roman" w:hAnsi="Times New Roman" w:cs="Times New Roman"/>
          <w:sz w:val="24"/>
          <w:szCs w:val="24"/>
          <w:shd w:val="clear" w:color="auto" w:fill="FFFFFF"/>
        </w:rPr>
        <w:t>)</w:t>
      </w:r>
      <w:r w:rsidRPr="00E47A0F">
        <w:rPr>
          <w:rStyle w:val="normaltextrun"/>
          <w:rFonts w:ascii="Times New Roman" w:hAnsi="Times New Roman" w:cs="Times New Roman"/>
          <w:sz w:val="24"/>
          <w:szCs w:val="24"/>
          <w:shd w:val="clear" w:color="auto" w:fill="FFFFFF"/>
        </w:rPr>
        <w:t>.  </w:t>
      </w:r>
      <w:r w:rsidRPr="00E47A0F">
        <w:rPr>
          <w:rStyle w:val="normaltextrun"/>
          <w:rFonts w:ascii="Times New Roman" w:hAnsi="Times New Roman" w:cs="Times New Roman"/>
          <w:i/>
          <w:iCs/>
          <w:sz w:val="24"/>
          <w:szCs w:val="24"/>
          <w:shd w:val="clear" w:color="auto" w:fill="FFFFFF"/>
        </w:rPr>
        <w:t>Fiji's Indian Migrants: A History to the End of Indenture in 1920.</w:t>
      </w:r>
      <w:r w:rsidRPr="00E47A0F">
        <w:rPr>
          <w:rStyle w:val="normaltextrun"/>
          <w:rFonts w:ascii="Times New Roman" w:hAnsi="Times New Roman" w:cs="Times New Roman"/>
          <w:sz w:val="24"/>
          <w:szCs w:val="24"/>
          <w:shd w:val="clear" w:color="auto" w:fill="FFFFFF"/>
        </w:rPr>
        <w:t>  Melbourne: Oxford University Press.</w:t>
      </w:r>
    </w:p>
    <w:p w14:paraId="57467A90" w14:textId="0B3FCFEE" w:rsidR="00610903" w:rsidRPr="00E47A0F" w:rsidRDefault="00610903" w:rsidP="008036F8">
      <w:pPr>
        <w:spacing w:afterAutospacing="1" w:line="360" w:lineRule="auto"/>
        <w:ind w:left="720" w:hanging="720"/>
        <w:contextualSpacing/>
        <w:jc w:val="both"/>
        <w:rPr>
          <w:rFonts w:ascii="Times New Roman" w:eastAsia="Arial" w:hAnsi="Times New Roman" w:cs="Times New Roman"/>
          <w:sz w:val="24"/>
          <w:szCs w:val="24"/>
        </w:rPr>
      </w:pPr>
      <w:r w:rsidRPr="00E47A0F">
        <w:rPr>
          <w:rFonts w:ascii="Times New Roman" w:eastAsia="Georgia" w:hAnsi="Times New Roman" w:cs="Times New Roman"/>
          <w:sz w:val="24"/>
          <w:szCs w:val="24"/>
        </w:rPr>
        <w:t>Gounder, F.  (2019, a).  Gender and resistance in Indian indenture life stories: Oral history and the national stage of memorialization.  In F. Gounder.,</w:t>
      </w:r>
      <w:r w:rsidR="00656DAB" w:rsidRPr="00E47A0F">
        <w:rPr>
          <w:rFonts w:ascii="Times New Roman" w:eastAsia="Georgia" w:hAnsi="Times New Roman" w:cs="Times New Roman"/>
          <w:sz w:val="24"/>
          <w:szCs w:val="24"/>
        </w:rPr>
        <w:t xml:space="preserve"> K.</w:t>
      </w:r>
      <w:r w:rsidRPr="00E47A0F">
        <w:rPr>
          <w:rFonts w:ascii="Times New Roman" w:eastAsia="Georgia" w:hAnsi="Times New Roman" w:cs="Times New Roman"/>
          <w:sz w:val="24"/>
          <w:szCs w:val="24"/>
        </w:rPr>
        <w:t xml:space="preserve"> </w:t>
      </w:r>
      <w:r w:rsidR="00656DAB" w:rsidRPr="00E47A0F">
        <w:rPr>
          <w:rFonts w:ascii="Times New Roman" w:eastAsia="Georgia" w:hAnsi="Times New Roman" w:cs="Times New Roman"/>
          <w:sz w:val="24"/>
          <w:szCs w:val="24"/>
        </w:rPr>
        <w:t>Hiralal</w:t>
      </w:r>
      <w:r w:rsidRPr="00E47A0F">
        <w:rPr>
          <w:rFonts w:ascii="Times New Roman" w:eastAsia="Georgia" w:hAnsi="Times New Roman" w:cs="Times New Roman"/>
          <w:sz w:val="24"/>
          <w:szCs w:val="24"/>
        </w:rPr>
        <w:t xml:space="preserve">., A. Pande., &amp; M. Hassankhan (Eds.).  </w:t>
      </w:r>
      <w:r w:rsidRPr="00E47A0F">
        <w:rPr>
          <w:rFonts w:ascii="Times New Roman" w:eastAsia="Georgia" w:hAnsi="Times New Roman" w:cs="Times New Roman"/>
          <w:i/>
          <w:iCs/>
          <w:sz w:val="24"/>
          <w:szCs w:val="24"/>
        </w:rPr>
        <w:t>Gender, power and memory: Legacies of slavery and indenture</w:t>
      </w:r>
      <w:r w:rsidRPr="00E47A0F">
        <w:rPr>
          <w:rFonts w:ascii="Times New Roman" w:eastAsia="Georgia" w:hAnsi="Times New Roman" w:cs="Times New Roman"/>
          <w:sz w:val="24"/>
          <w:szCs w:val="24"/>
        </w:rPr>
        <w:t>.  Routledge Press.</w:t>
      </w:r>
      <w:r w:rsidRPr="00E47A0F">
        <w:rPr>
          <w:rFonts w:ascii="Times New Roman" w:eastAsia="Arial" w:hAnsi="Times New Roman" w:cs="Times New Roman"/>
          <w:sz w:val="24"/>
          <w:szCs w:val="24"/>
        </w:rPr>
        <w:t xml:space="preserve">   </w:t>
      </w:r>
    </w:p>
    <w:p w14:paraId="45D8C074" w14:textId="77777777" w:rsidR="00610903" w:rsidRPr="00E47A0F" w:rsidRDefault="00610903" w:rsidP="008036F8">
      <w:pPr>
        <w:spacing w:afterAutospacing="1" w:line="360" w:lineRule="auto"/>
        <w:ind w:left="720" w:hanging="720"/>
        <w:contextualSpacing/>
        <w:jc w:val="both"/>
        <w:rPr>
          <w:rFonts w:ascii="Times New Roman" w:eastAsia="Georgia" w:hAnsi="Times New Roman" w:cs="Times New Roman"/>
          <w:sz w:val="24"/>
          <w:szCs w:val="24"/>
        </w:rPr>
      </w:pPr>
      <w:r w:rsidRPr="00E47A0F">
        <w:rPr>
          <w:rFonts w:ascii="Times New Roman" w:eastAsia="Georgia" w:hAnsi="Times New Roman" w:cs="Times New Roman"/>
          <w:sz w:val="24"/>
          <w:szCs w:val="24"/>
        </w:rPr>
        <w:t xml:space="preserve">Gounder, F.  (2019, b).  Motherhood performativity in sub-altern life stories.  In A. Pande (Ed.).  </w:t>
      </w:r>
      <w:r w:rsidRPr="00E47A0F">
        <w:rPr>
          <w:rFonts w:ascii="Times New Roman" w:eastAsia="Georgia" w:hAnsi="Times New Roman" w:cs="Times New Roman"/>
          <w:i/>
          <w:iCs/>
          <w:sz w:val="24"/>
          <w:szCs w:val="24"/>
        </w:rPr>
        <w:t>Women in the Indian diaspora: Indentured and post-indentured experiences</w:t>
      </w:r>
      <w:r w:rsidRPr="00E47A0F">
        <w:rPr>
          <w:rFonts w:ascii="Times New Roman" w:eastAsia="Georgia" w:hAnsi="Times New Roman" w:cs="Times New Roman"/>
          <w:sz w:val="24"/>
          <w:szCs w:val="24"/>
        </w:rPr>
        <w:t>.  Singapore: Springer.</w:t>
      </w:r>
    </w:p>
    <w:p w14:paraId="275BE953" w14:textId="6804915C"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Gounder, Farzana. </w:t>
      </w:r>
      <w:r w:rsidR="00816361"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sz w:val="24"/>
          <w:szCs w:val="24"/>
        </w:rPr>
        <w:t>2011</w:t>
      </w:r>
      <w:r w:rsidR="00816361"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Indentured Identities: Resistance and Accommodation in Plantation-era Fiji</w:t>
      </w:r>
      <w:r w:rsidRPr="00E47A0F">
        <w:rPr>
          <w:rFonts w:ascii="Times New Roman" w:eastAsia="Times New Roman" w:hAnsi="Times New Roman" w:cs="Times New Roman"/>
          <w:sz w:val="24"/>
          <w:szCs w:val="24"/>
        </w:rPr>
        <w:t>.  The Netherlands: John Benjamins Publishing.</w:t>
      </w:r>
    </w:p>
    <w:p w14:paraId="0C12DE10" w14:textId="77777777" w:rsidR="00610903" w:rsidRPr="00E47A0F" w:rsidRDefault="00610903" w:rsidP="008036F8">
      <w:pPr>
        <w:pStyle w:val="EndnoteText"/>
        <w:spacing w:line="360" w:lineRule="auto"/>
        <w:ind w:left="720" w:hanging="720"/>
        <w:contextualSpacing/>
        <w:jc w:val="both"/>
        <w:rPr>
          <w:rFonts w:ascii="Times New Roman" w:hAnsi="Times New Roman" w:cs="Times New Roman"/>
          <w:sz w:val="24"/>
          <w:szCs w:val="24"/>
          <w:shd w:val="clear" w:color="auto" w:fill="FFFFFF"/>
        </w:rPr>
      </w:pPr>
      <w:r w:rsidRPr="00E47A0F">
        <w:rPr>
          <w:rFonts w:ascii="Times New Roman" w:hAnsi="Times New Roman" w:cs="Times New Roman"/>
          <w:sz w:val="24"/>
          <w:szCs w:val="24"/>
          <w:shd w:val="clear" w:color="auto" w:fill="FFFFFF"/>
        </w:rPr>
        <w:lastRenderedPageBreak/>
        <w:t>Graham, H. (2004). Social determinants and their unequal distribution: clarifying policy understandings. </w:t>
      </w:r>
      <w:r w:rsidRPr="00E47A0F">
        <w:rPr>
          <w:rFonts w:ascii="Times New Roman" w:hAnsi="Times New Roman" w:cs="Times New Roman"/>
          <w:i/>
          <w:iCs/>
          <w:sz w:val="24"/>
          <w:szCs w:val="24"/>
          <w:shd w:val="clear" w:color="auto" w:fill="FFFFFF"/>
        </w:rPr>
        <w:t>The Milbank Quarterly</w:t>
      </w:r>
      <w:r w:rsidRPr="00E47A0F">
        <w:rPr>
          <w:rFonts w:ascii="Times New Roman" w:hAnsi="Times New Roman" w:cs="Times New Roman"/>
          <w:sz w:val="24"/>
          <w:szCs w:val="24"/>
          <w:shd w:val="clear" w:color="auto" w:fill="FFFFFF"/>
        </w:rPr>
        <w:t>, </w:t>
      </w:r>
      <w:r w:rsidRPr="00E47A0F">
        <w:rPr>
          <w:rFonts w:ascii="Times New Roman" w:hAnsi="Times New Roman" w:cs="Times New Roman"/>
          <w:i/>
          <w:iCs/>
          <w:sz w:val="24"/>
          <w:szCs w:val="24"/>
          <w:shd w:val="clear" w:color="auto" w:fill="FFFFFF"/>
        </w:rPr>
        <w:t>82</w:t>
      </w:r>
      <w:r w:rsidRPr="00E47A0F">
        <w:rPr>
          <w:rFonts w:ascii="Times New Roman" w:hAnsi="Times New Roman" w:cs="Times New Roman"/>
          <w:sz w:val="24"/>
          <w:szCs w:val="24"/>
          <w:shd w:val="clear" w:color="auto" w:fill="FFFFFF"/>
        </w:rPr>
        <w:t>(1), 101-124.</w:t>
      </w:r>
    </w:p>
    <w:p w14:paraId="4ADDB52C" w14:textId="51A6D564" w:rsidR="00610903" w:rsidRPr="00E47A0F" w:rsidRDefault="00610903" w:rsidP="008036F8">
      <w:pPr>
        <w:pStyle w:val="EndnoteText"/>
        <w:spacing w:line="360" w:lineRule="auto"/>
        <w:ind w:left="720" w:hanging="720"/>
        <w:contextualSpacing/>
        <w:jc w:val="both"/>
        <w:rPr>
          <w:rFonts w:ascii="Times New Roman" w:eastAsia="Times New Roman" w:hAnsi="Times New Roman" w:cs="Times New Roman"/>
          <w:sz w:val="24"/>
          <w:szCs w:val="24"/>
          <w:lang w:val="en-US"/>
        </w:rPr>
      </w:pPr>
      <w:r w:rsidRPr="00E47A0F">
        <w:rPr>
          <w:rFonts w:ascii="Times New Roman" w:eastAsia="Times New Roman" w:hAnsi="Times New Roman" w:cs="Times New Roman"/>
          <w:sz w:val="24"/>
          <w:szCs w:val="24"/>
          <w:lang w:val="en-US"/>
        </w:rPr>
        <w:t>Harvey, Jane</w:t>
      </w:r>
      <w:r w:rsidRPr="00E47A0F">
        <w:rPr>
          <w:rFonts w:ascii="Times New Roman" w:eastAsia="Georgia" w:hAnsi="Times New Roman" w:cs="Times New Roman"/>
          <w:sz w:val="24"/>
          <w:szCs w:val="24"/>
          <w:lang w:val="en-US"/>
        </w:rPr>
        <w:t xml:space="preserve">. </w:t>
      </w:r>
      <w:r w:rsidR="00816361" w:rsidRPr="00E47A0F">
        <w:rPr>
          <w:rFonts w:ascii="Times New Roman" w:eastAsia="Georgia" w:hAnsi="Times New Roman" w:cs="Times New Roman"/>
          <w:sz w:val="24"/>
          <w:szCs w:val="24"/>
          <w:lang w:val="en-US"/>
        </w:rPr>
        <w:t xml:space="preserve"> (</w:t>
      </w:r>
      <w:r w:rsidRPr="00E47A0F">
        <w:rPr>
          <w:rFonts w:ascii="Times New Roman" w:eastAsia="Times New Roman" w:hAnsi="Times New Roman" w:cs="Times New Roman"/>
          <w:sz w:val="24"/>
          <w:szCs w:val="24"/>
          <w:lang w:val="en-US"/>
        </w:rPr>
        <w:t>2000</w:t>
      </w:r>
      <w:r w:rsidR="00816361" w:rsidRPr="00E47A0F">
        <w:rPr>
          <w:rFonts w:ascii="Times New Roman" w:eastAsia="Times New Roman" w:hAnsi="Times New Roman" w:cs="Times New Roman"/>
          <w:sz w:val="24"/>
          <w:szCs w:val="24"/>
          <w:lang w:val="en-US"/>
        </w:rPr>
        <w:t>)</w:t>
      </w:r>
      <w:r w:rsidRPr="00E47A0F">
        <w:rPr>
          <w:rFonts w:ascii="Times New Roman" w:eastAsia="Times New Roman" w:hAnsi="Times New Roman" w:cs="Times New Roman"/>
          <w:sz w:val="24"/>
          <w:szCs w:val="24"/>
          <w:lang w:val="en-US"/>
        </w:rPr>
        <w:t xml:space="preserve">. </w:t>
      </w:r>
      <w:r w:rsidRPr="00E47A0F">
        <w:rPr>
          <w:rFonts w:ascii="Times New Roman" w:eastAsia="Georgia" w:hAnsi="Times New Roman" w:cs="Times New Roman"/>
          <w:sz w:val="24"/>
          <w:szCs w:val="24"/>
          <w:lang w:val="en-US"/>
        </w:rPr>
        <w:t xml:space="preserve"> </w:t>
      </w:r>
      <w:r w:rsidRPr="00E47A0F">
        <w:rPr>
          <w:rFonts w:ascii="Times New Roman" w:eastAsia="Times New Roman" w:hAnsi="Times New Roman" w:cs="Times New Roman"/>
          <w:sz w:val="24"/>
          <w:szCs w:val="24"/>
          <w:lang w:val="en-US"/>
        </w:rPr>
        <w:t>Naraini’s</w:t>
      </w:r>
      <w:r w:rsidRPr="00E47A0F">
        <w:rPr>
          <w:rFonts w:ascii="Times New Roman" w:eastAsia="Georgia" w:hAnsi="Times New Roman" w:cs="Times New Roman"/>
          <w:sz w:val="24"/>
          <w:szCs w:val="24"/>
          <w:lang w:val="en-US"/>
        </w:rPr>
        <w:t xml:space="preserve"> </w:t>
      </w:r>
      <w:r w:rsidRPr="00E47A0F">
        <w:rPr>
          <w:rFonts w:ascii="Times New Roman" w:eastAsia="Times New Roman" w:hAnsi="Times New Roman" w:cs="Times New Roman"/>
          <w:sz w:val="24"/>
          <w:szCs w:val="24"/>
          <w:lang w:val="en-US"/>
        </w:rPr>
        <w:t>Story.</w:t>
      </w:r>
      <w:r w:rsidRPr="00E47A0F">
        <w:rPr>
          <w:rFonts w:ascii="Times New Roman" w:eastAsia="Georgia" w:hAnsi="Times New Roman" w:cs="Times New Roman"/>
          <w:sz w:val="24"/>
          <w:szCs w:val="24"/>
          <w:lang w:val="en-US"/>
        </w:rPr>
        <w:t xml:space="preserve">  </w:t>
      </w:r>
      <w:r w:rsidR="00925C7F" w:rsidRPr="00E47A0F">
        <w:rPr>
          <w:rStyle w:val="normaltextrun"/>
          <w:rFonts w:ascii="Times New Roman" w:hAnsi="Times New Roman" w:cs="Times New Roman"/>
          <w:sz w:val="24"/>
          <w:szCs w:val="24"/>
          <w:shd w:val="clear" w:color="auto" w:fill="FFFFFF"/>
        </w:rPr>
        <w:t>In B. V. Lal (Ed.).</w:t>
      </w:r>
      <w:r w:rsidR="00925C7F" w:rsidRPr="00E47A0F">
        <w:rPr>
          <w:rStyle w:val="spellingerror"/>
          <w:rFonts w:ascii="Times New Roman" w:hAnsi="Times New Roman" w:cs="Times New Roman"/>
          <w:i/>
          <w:iCs/>
          <w:sz w:val="24"/>
          <w:szCs w:val="24"/>
          <w:shd w:val="clear" w:color="auto" w:fill="FFFFFF"/>
        </w:rPr>
        <w:t xml:space="preserve"> Chalo</w:t>
      </w:r>
      <w:r w:rsidR="00925C7F" w:rsidRPr="00E47A0F">
        <w:rPr>
          <w:rStyle w:val="normaltextrun"/>
          <w:rFonts w:ascii="Times New Roman" w:hAnsi="Times New Roman" w:cs="Times New Roman"/>
          <w:i/>
          <w:iCs/>
          <w:sz w:val="24"/>
          <w:szCs w:val="24"/>
          <w:shd w:val="clear" w:color="auto" w:fill="FFFFFF"/>
        </w:rPr>
        <w:t> </w:t>
      </w:r>
      <w:r w:rsidR="00925C7F" w:rsidRPr="00E47A0F">
        <w:rPr>
          <w:rStyle w:val="spellingerror"/>
          <w:rFonts w:ascii="Times New Roman" w:hAnsi="Times New Roman" w:cs="Times New Roman"/>
          <w:i/>
          <w:iCs/>
          <w:sz w:val="24"/>
          <w:szCs w:val="24"/>
          <w:shd w:val="clear" w:color="auto" w:fill="FFFFFF"/>
        </w:rPr>
        <w:t>Jahaji</w:t>
      </w:r>
      <w:r w:rsidR="00925C7F" w:rsidRPr="00E47A0F">
        <w:rPr>
          <w:rStyle w:val="normaltextrun"/>
          <w:rFonts w:ascii="Times New Roman" w:hAnsi="Times New Roman" w:cs="Times New Roman"/>
          <w:i/>
          <w:iCs/>
          <w:sz w:val="24"/>
          <w:szCs w:val="24"/>
          <w:shd w:val="clear" w:color="auto" w:fill="FFFFFF"/>
        </w:rPr>
        <w:t>: On a journey through indenture in Fiji</w:t>
      </w:r>
      <w:r w:rsidR="00925C7F" w:rsidRPr="00E47A0F">
        <w:rPr>
          <w:rStyle w:val="normaltextrun"/>
          <w:rFonts w:ascii="Times New Roman" w:hAnsi="Times New Roman" w:cs="Times New Roman"/>
          <w:sz w:val="24"/>
          <w:szCs w:val="24"/>
          <w:shd w:val="clear" w:color="auto" w:fill="FFFFFF"/>
        </w:rPr>
        <w:t xml:space="preserve"> (pp. </w:t>
      </w:r>
      <w:r w:rsidR="00925C7F" w:rsidRPr="00E47A0F">
        <w:rPr>
          <w:rFonts w:ascii="Times New Roman" w:eastAsia="Times New Roman" w:hAnsi="Times New Roman" w:cs="Times New Roman"/>
          <w:sz w:val="24"/>
          <w:szCs w:val="24"/>
          <w:lang w:val="en-US"/>
        </w:rPr>
        <w:t>337-48</w:t>
      </w:r>
      <w:r w:rsidR="00925C7F" w:rsidRPr="00E47A0F">
        <w:rPr>
          <w:rStyle w:val="normaltextrun"/>
          <w:rFonts w:ascii="Times New Roman" w:hAnsi="Times New Roman" w:cs="Times New Roman"/>
          <w:sz w:val="24"/>
          <w:szCs w:val="24"/>
          <w:shd w:val="clear" w:color="auto" w:fill="FFFFFF"/>
        </w:rPr>
        <w:t>).  Canberra: ANU E-Press.    </w:t>
      </w:r>
      <w:r w:rsidR="00925C7F" w:rsidRPr="00E47A0F">
        <w:rPr>
          <w:rStyle w:val="eop"/>
          <w:rFonts w:ascii="Times New Roman" w:hAnsi="Times New Roman" w:cs="Times New Roman"/>
          <w:sz w:val="24"/>
          <w:szCs w:val="24"/>
          <w:shd w:val="clear" w:color="auto" w:fill="FFFFFF"/>
        </w:rPr>
        <w:t> </w:t>
      </w:r>
      <w:r w:rsidR="00925C7F" w:rsidRPr="00E47A0F">
        <w:rPr>
          <w:rFonts w:ascii="Times New Roman" w:hAnsi="Times New Roman" w:cs="Times New Roman"/>
          <w:sz w:val="24"/>
          <w:szCs w:val="24"/>
        </w:rPr>
        <w:t xml:space="preserve"> </w:t>
      </w:r>
    </w:p>
    <w:p w14:paraId="367C3D04" w14:textId="3A89DB3F"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Hassankhan</w:t>
      </w:r>
      <w:r w:rsidRPr="00E47A0F">
        <w:rPr>
          <w:rFonts w:ascii="Times New Roman" w:eastAsia="Georgia" w:hAnsi="Times New Roman" w:cs="Times New Roman"/>
          <w:sz w:val="24"/>
          <w:szCs w:val="24"/>
        </w:rPr>
        <w:t xml:space="preserve">, </w:t>
      </w:r>
      <w:r w:rsidRPr="00E47A0F">
        <w:rPr>
          <w:rFonts w:ascii="Times New Roman" w:eastAsia="Times New Roman" w:hAnsi="Times New Roman" w:cs="Times New Roman"/>
          <w:sz w:val="24"/>
          <w:szCs w:val="24"/>
        </w:rPr>
        <w:t xml:space="preserve">Maurits. </w:t>
      </w:r>
      <w:r w:rsidR="00816361"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sz w:val="24"/>
          <w:szCs w:val="24"/>
        </w:rPr>
        <w:t>2014</w:t>
      </w:r>
      <w:r w:rsidR="00816361"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 xml:space="preserve">. </w:t>
      </w:r>
      <w:r w:rsidR="00925C7F"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sz w:val="24"/>
          <w:szCs w:val="24"/>
        </w:rPr>
        <w:t>The Indian Indentured Experience in Suriname. Control, Accommodation and Resistance.</w:t>
      </w:r>
      <w:r w:rsidR="00925C7F"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sz w:val="24"/>
          <w:szCs w:val="24"/>
        </w:rPr>
        <w:t xml:space="preserve"> </w:t>
      </w:r>
      <w:r w:rsidR="00925C7F" w:rsidRPr="00E47A0F">
        <w:rPr>
          <w:rFonts w:ascii="Times New Roman" w:eastAsia="Times New Roman" w:hAnsi="Times New Roman" w:cs="Times New Roman"/>
          <w:sz w:val="24"/>
          <w:szCs w:val="24"/>
        </w:rPr>
        <w:t>I</w:t>
      </w:r>
      <w:r w:rsidRPr="00E47A0F">
        <w:rPr>
          <w:rFonts w:ascii="Times New Roman" w:eastAsia="Times New Roman" w:hAnsi="Times New Roman" w:cs="Times New Roman"/>
          <w:sz w:val="24"/>
          <w:szCs w:val="24"/>
        </w:rPr>
        <w:t xml:space="preserve">n </w:t>
      </w:r>
      <w:r w:rsidR="00925C7F" w:rsidRPr="00E47A0F">
        <w:rPr>
          <w:rFonts w:ascii="Times New Roman" w:eastAsia="Times New Roman" w:hAnsi="Times New Roman" w:cs="Times New Roman"/>
          <w:sz w:val="24"/>
          <w:szCs w:val="24"/>
        </w:rPr>
        <w:t xml:space="preserve">M. S. Hassankhan., B. V. Lal, and D. Munro. (Eds.).  </w:t>
      </w:r>
      <w:r w:rsidRPr="00E47A0F">
        <w:rPr>
          <w:rFonts w:ascii="Times New Roman" w:eastAsia="Times New Roman" w:hAnsi="Times New Roman" w:cs="Times New Roman"/>
          <w:i/>
          <w:iCs/>
          <w:sz w:val="24"/>
          <w:szCs w:val="24"/>
        </w:rPr>
        <w:t>Resistance and Indian Indenture Experience: Comparative Perspectives</w:t>
      </w:r>
      <w:r w:rsidR="00925C7F" w:rsidRPr="00E47A0F">
        <w:rPr>
          <w:rFonts w:ascii="Times New Roman" w:eastAsia="Times New Roman" w:hAnsi="Times New Roman" w:cs="Times New Roman"/>
          <w:i/>
          <w:iCs/>
          <w:sz w:val="24"/>
          <w:szCs w:val="24"/>
        </w:rPr>
        <w:t xml:space="preserve"> </w:t>
      </w:r>
      <w:r w:rsidR="00925C7F" w:rsidRPr="00E47A0F">
        <w:rPr>
          <w:rFonts w:ascii="Times New Roman" w:eastAsia="Times New Roman" w:hAnsi="Times New Roman" w:cs="Times New Roman"/>
          <w:sz w:val="24"/>
          <w:szCs w:val="24"/>
        </w:rPr>
        <w:t xml:space="preserve">(pp. 199-240).  </w:t>
      </w:r>
      <w:r w:rsidRPr="00E47A0F">
        <w:rPr>
          <w:rFonts w:ascii="Times New Roman" w:eastAsia="Times New Roman" w:hAnsi="Times New Roman" w:cs="Times New Roman"/>
          <w:sz w:val="24"/>
          <w:szCs w:val="24"/>
        </w:rPr>
        <w:t xml:space="preserve">New Delhi: Manohar Publishers.  </w:t>
      </w:r>
    </w:p>
    <w:p w14:paraId="573D88BC" w14:textId="76EF201D"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Hiralal, Kalpana. </w:t>
      </w:r>
      <w:r w:rsidR="00816361"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sz w:val="24"/>
          <w:szCs w:val="24"/>
        </w:rPr>
        <w:t>2014</w:t>
      </w:r>
      <w:r w:rsidR="00816361"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 xml:space="preserve">.  ‘Rebellious Sister’: Indentured Indian Women and Resistance in Colonial Natal 1860-1911.  </w:t>
      </w:r>
      <w:r w:rsidR="00925C7F" w:rsidRPr="00E47A0F">
        <w:rPr>
          <w:rFonts w:ascii="Times New Roman" w:eastAsia="Times New Roman" w:hAnsi="Times New Roman" w:cs="Times New Roman"/>
          <w:sz w:val="24"/>
          <w:szCs w:val="24"/>
        </w:rPr>
        <w:t xml:space="preserve">In M. S. Hassankhan., B. V. Lal, and D. Munro. (Eds.).  </w:t>
      </w:r>
      <w:r w:rsidR="00925C7F" w:rsidRPr="00E47A0F">
        <w:rPr>
          <w:rFonts w:ascii="Times New Roman" w:eastAsia="Times New Roman" w:hAnsi="Times New Roman" w:cs="Times New Roman"/>
          <w:i/>
          <w:iCs/>
          <w:sz w:val="24"/>
          <w:szCs w:val="24"/>
        </w:rPr>
        <w:t xml:space="preserve">Resistance and Indian Indenture Experience: Comparative Perspectives </w:t>
      </w:r>
      <w:r w:rsidR="00925C7F" w:rsidRPr="00E47A0F">
        <w:rPr>
          <w:rFonts w:ascii="Times New Roman" w:eastAsia="Times New Roman" w:hAnsi="Times New Roman" w:cs="Times New Roman"/>
          <w:sz w:val="24"/>
          <w:szCs w:val="24"/>
        </w:rPr>
        <w:t xml:space="preserve">(pp. 241-270).  New Delhi: Manohar Publishers.  </w:t>
      </w:r>
    </w:p>
    <w:p w14:paraId="6EB37CAB" w14:textId="77777777" w:rsidR="00610903" w:rsidRPr="00E47A0F" w:rsidRDefault="00610903" w:rsidP="008036F8">
      <w:pPr>
        <w:spacing w:line="360" w:lineRule="auto"/>
        <w:ind w:left="720" w:hanging="720"/>
        <w:contextualSpacing/>
        <w:jc w:val="both"/>
        <w:rPr>
          <w:rStyle w:val="normaltextrun"/>
          <w:rFonts w:ascii="Times New Roman" w:hAnsi="Times New Roman" w:cs="Times New Roman"/>
          <w:sz w:val="24"/>
          <w:szCs w:val="24"/>
          <w:shd w:val="clear" w:color="auto" w:fill="FFFFFF"/>
        </w:rPr>
      </w:pPr>
      <w:r w:rsidRPr="00E47A0F">
        <w:rPr>
          <w:rStyle w:val="spellingerror"/>
          <w:rFonts w:ascii="Times New Roman" w:hAnsi="Times New Roman" w:cs="Times New Roman"/>
          <w:sz w:val="24"/>
          <w:szCs w:val="24"/>
          <w:shd w:val="clear" w:color="auto" w:fill="FFFFFF"/>
        </w:rPr>
        <w:t>Hoefte</w:t>
      </w:r>
      <w:r w:rsidRPr="00E47A0F">
        <w:rPr>
          <w:rStyle w:val="normaltextrun"/>
          <w:rFonts w:ascii="Times New Roman" w:hAnsi="Times New Roman" w:cs="Times New Roman"/>
          <w:sz w:val="24"/>
          <w:szCs w:val="24"/>
          <w:shd w:val="clear" w:color="auto" w:fill="FFFFFF"/>
        </w:rPr>
        <w:t>, </w:t>
      </w:r>
      <w:r w:rsidRPr="00E47A0F">
        <w:rPr>
          <w:rStyle w:val="spellingerror"/>
          <w:rFonts w:ascii="Times New Roman" w:hAnsi="Times New Roman" w:cs="Times New Roman"/>
          <w:sz w:val="24"/>
          <w:szCs w:val="24"/>
          <w:shd w:val="clear" w:color="auto" w:fill="FFFFFF"/>
        </w:rPr>
        <w:t>Rosemarijn</w:t>
      </w:r>
      <w:r w:rsidRPr="00E47A0F">
        <w:rPr>
          <w:rStyle w:val="normaltextrun"/>
          <w:rFonts w:ascii="Times New Roman" w:hAnsi="Times New Roman" w:cs="Times New Roman"/>
          <w:sz w:val="24"/>
          <w:szCs w:val="24"/>
          <w:shd w:val="clear" w:color="auto" w:fill="FFFFFF"/>
        </w:rPr>
        <w:t>. (1987). Female indentured </w:t>
      </w:r>
      <w:r w:rsidRPr="00E47A0F">
        <w:rPr>
          <w:rStyle w:val="spellingerror"/>
          <w:rFonts w:ascii="Times New Roman" w:hAnsi="Times New Roman" w:cs="Times New Roman"/>
          <w:sz w:val="24"/>
          <w:szCs w:val="24"/>
          <w:shd w:val="clear" w:color="auto" w:fill="FFFFFF"/>
        </w:rPr>
        <w:t>labor</w:t>
      </w:r>
      <w:r w:rsidRPr="00E47A0F">
        <w:rPr>
          <w:rStyle w:val="normaltextrun"/>
          <w:rFonts w:ascii="Times New Roman" w:hAnsi="Times New Roman" w:cs="Times New Roman"/>
          <w:sz w:val="24"/>
          <w:szCs w:val="24"/>
          <w:shd w:val="clear" w:color="auto" w:fill="FFFFFF"/>
        </w:rPr>
        <w:t> in Suriname: For better or for </w:t>
      </w:r>
      <w:r w:rsidRPr="00E47A0F">
        <w:rPr>
          <w:rStyle w:val="contextualspellingandgrammarerror"/>
          <w:rFonts w:ascii="Times New Roman" w:hAnsi="Times New Roman" w:cs="Times New Roman"/>
          <w:sz w:val="24"/>
          <w:szCs w:val="24"/>
          <w:shd w:val="clear" w:color="auto" w:fill="FFFFFF"/>
        </w:rPr>
        <w:t>worse?.</w:t>
      </w:r>
      <w:r w:rsidRPr="00E47A0F">
        <w:rPr>
          <w:rStyle w:val="normaltextrun"/>
          <w:rFonts w:ascii="Times New Roman" w:hAnsi="Times New Roman" w:cs="Times New Roman"/>
          <w:sz w:val="24"/>
          <w:szCs w:val="24"/>
          <w:shd w:val="clear" w:color="auto" w:fill="FFFFFF"/>
        </w:rPr>
        <w:t> </w:t>
      </w:r>
      <w:r w:rsidRPr="00E47A0F">
        <w:rPr>
          <w:rStyle w:val="spellingerror"/>
          <w:rFonts w:ascii="Times New Roman" w:hAnsi="Times New Roman" w:cs="Times New Roman"/>
          <w:i/>
          <w:iCs/>
          <w:sz w:val="24"/>
          <w:szCs w:val="24"/>
          <w:shd w:val="clear" w:color="auto" w:fill="FFFFFF"/>
        </w:rPr>
        <w:t>Boletin</w:t>
      </w:r>
      <w:r w:rsidRPr="00E47A0F">
        <w:rPr>
          <w:rStyle w:val="normaltextrun"/>
          <w:rFonts w:ascii="Times New Roman" w:hAnsi="Times New Roman" w:cs="Times New Roman"/>
          <w:i/>
          <w:iCs/>
          <w:sz w:val="24"/>
          <w:szCs w:val="24"/>
          <w:shd w:val="clear" w:color="auto" w:fill="FFFFFF"/>
        </w:rPr>
        <w:t> de </w:t>
      </w:r>
      <w:r w:rsidRPr="00E47A0F">
        <w:rPr>
          <w:rStyle w:val="spellingerror"/>
          <w:rFonts w:ascii="Times New Roman" w:hAnsi="Times New Roman" w:cs="Times New Roman"/>
          <w:i/>
          <w:iCs/>
          <w:sz w:val="24"/>
          <w:szCs w:val="24"/>
          <w:shd w:val="clear" w:color="auto" w:fill="FFFFFF"/>
        </w:rPr>
        <w:t>estudios</w:t>
      </w:r>
      <w:r w:rsidRPr="00E47A0F">
        <w:rPr>
          <w:rStyle w:val="normaltextrun"/>
          <w:rFonts w:ascii="Times New Roman" w:hAnsi="Times New Roman" w:cs="Times New Roman"/>
          <w:i/>
          <w:iCs/>
          <w:sz w:val="24"/>
          <w:szCs w:val="24"/>
          <w:shd w:val="clear" w:color="auto" w:fill="FFFFFF"/>
        </w:rPr>
        <w:t> </w:t>
      </w:r>
      <w:r w:rsidRPr="00E47A0F">
        <w:rPr>
          <w:rStyle w:val="spellingerror"/>
          <w:rFonts w:ascii="Times New Roman" w:hAnsi="Times New Roman" w:cs="Times New Roman"/>
          <w:i/>
          <w:iCs/>
          <w:sz w:val="24"/>
          <w:szCs w:val="24"/>
          <w:shd w:val="clear" w:color="auto" w:fill="FFFFFF"/>
        </w:rPr>
        <w:t>Latinoamericanos</w:t>
      </w:r>
      <w:r w:rsidRPr="00E47A0F">
        <w:rPr>
          <w:rStyle w:val="normaltextrun"/>
          <w:rFonts w:ascii="Times New Roman" w:hAnsi="Times New Roman" w:cs="Times New Roman"/>
          <w:i/>
          <w:iCs/>
          <w:sz w:val="24"/>
          <w:szCs w:val="24"/>
          <w:shd w:val="clear" w:color="auto" w:fill="FFFFFF"/>
        </w:rPr>
        <w:t> y del Caribe</w:t>
      </w:r>
      <w:r w:rsidRPr="00E47A0F">
        <w:rPr>
          <w:rStyle w:val="normaltextrun"/>
          <w:rFonts w:ascii="Times New Roman" w:hAnsi="Times New Roman" w:cs="Times New Roman"/>
          <w:sz w:val="24"/>
          <w:szCs w:val="24"/>
          <w:shd w:val="clear" w:color="auto" w:fill="FFFFFF"/>
        </w:rPr>
        <w:t>, (42), 55-70.</w:t>
      </w:r>
    </w:p>
    <w:p w14:paraId="76C2AD4B" w14:textId="77777777"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Krieger, N. (2001). A glossary for social epidemiology. </w:t>
      </w:r>
      <w:r w:rsidRPr="00E47A0F">
        <w:rPr>
          <w:rFonts w:ascii="Times New Roman" w:eastAsia="Times New Roman" w:hAnsi="Times New Roman" w:cs="Times New Roman"/>
          <w:i/>
          <w:iCs/>
          <w:sz w:val="24"/>
          <w:szCs w:val="24"/>
        </w:rPr>
        <w:t>Journal of Epidemiology &amp; Community Health</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55</w:t>
      </w:r>
      <w:r w:rsidRPr="00E47A0F">
        <w:rPr>
          <w:rFonts w:ascii="Times New Roman" w:eastAsia="Times New Roman" w:hAnsi="Times New Roman" w:cs="Times New Roman"/>
          <w:sz w:val="24"/>
          <w:szCs w:val="24"/>
        </w:rPr>
        <w:t xml:space="preserve">(10), 693-700.  Pg. 693 </w:t>
      </w:r>
      <w:hyperlink r:id="rId10">
        <w:r w:rsidRPr="00E47A0F">
          <w:rPr>
            <w:rStyle w:val="Hyperlink"/>
            <w:rFonts w:ascii="Times New Roman" w:eastAsia="Times New Roman" w:hAnsi="Times New Roman" w:cs="Times New Roman"/>
            <w:color w:val="auto"/>
            <w:sz w:val="24"/>
            <w:szCs w:val="24"/>
          </w:rPr>
          <w:t>https://jech.bmj.com/content/jech/55/10/693.full.pdf</w:t>
        </w:r>
      </w:hyperlink>
    </w:p>
    <w:p w14:paraId="257F1C25" w14:textId="77777777"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Krieger, N., Waterman, P. D., Hartman, C., Bates, L. M., Stoddard, A. M., Quinn, M. M., ... &amp; Barbeau, E. M. (2006). Social hazards on the job: workplace abuse, sexual harassment, and racial discrimination—a study of black, Latino, and white low-income women and men workers in the United States. </w:t>
      </w:r>
      <w:r w:rsidRPr="00E47A0F">
        <w:rPr>
          <w:rFonts w:ascii="Times New Roman" w:eastAsia="Times New Roman" w:hAnsi="Times New Roman" w:cs="Times New Roman"/>
          <w:i/>
          <w:iCs/>
          <w:sz w:val="24"/>
          <w:szCs w:val="24"/>
        </w:rPr>
        <w:t>International Journal of Health Services</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36</w:t>
      </w:r>
      <w:r w:rsidRPr="00E47A0F">
        <w:rPr>
          <w:rFonts w:ascii="Times New Roman" w:eastAsia="Times New Roman" w:hAnsi="Times New Roman" w:cs="Times New Roman"/>
          <w:sz w:val="24"/>
          <w:szCs w:val="24"/>
        </w:rPr>
        <w:t>(1), 51-85.</w:t>
      </w:r>
    </w:p>
    <w:p w14:paraId="186781B3" w14:textId="77777777" w:rsidR="00610903" w:rsidRPr="00E47A0F" w:rsidRDefault="00610903" w:rsidP="008036F8">
      <w:pPr>
        <w:spacing w:line="360" w:lineRule="auto"/>
        <w:ind w:left="720" w:hanging="720"/>
        <w:contextualSpacing/>
        <w:jc w:val="both"/>
        <w:rPr>
          <w:rStyle w:val="normaltextrun"/>
          <w:rFonts w:ascii="Times New Roman" w:hAnsi="Times New Roman" w:cs="Times New Roman"/>
          <w:sz w:val="24"/>
          <w:szCs w:val="24"/>
          <w:shd w:val="clear" w:color="auto" w:fill="FFFFFF"/>
        </w:rPr>
      </w:pPr>
      <w:r w:rsidRPr="00E47A0F">
        <w:rPr>
          <w:rFonts w:ascii="Times New Roman" w:hAnsi="Times New Roman" w:cs="Times New Roman"/>
          <w:sz w:val="24"/>
          <w:szCs w:val="24"/>
          <w:shd w:val="clear" w:color="auto" w:fill="FFFFFF"/>
        </w:rPr>
        <w:t>Lal, B. V. (1996). The Odyssey of indenture: fragmentation and reconstitution in the Indian diaspora. </w:t>
      </w:r>
      <w:r w:rsidRPr="00E47A0F">
        <w:rPr>
          <w:rFonts w:ascii="Times New Roman" w:hAnsi="Times New Roman" w:cs="Times New Roman"/>
          <w:i/>
          <w:iCs/>
          <w:sz w:val="24"/>
          <w:szCs w:val="24"/>
          <w:shd w:val="clear" w:color="auto" w:fill="FFFFFF"/>
        </w:rPr>
        <w:t>Diaspora: A Journal of Transnational Studies</w:t>
      </w:r>
      <w:r w:rsidRPr="00E47A0F">
        <w:rPr>
          <w:rFonts w:ascii="Times New Roman" w:hAnsi="Times New Roman" w:cs="Times New Roman"/>
          <w:sz w:val="24"/>
          <w:szCs w:val="24"/>
          <w:shd w:val="clear" w:color="auto" w:fill="FFFFFF"/>
        </w:rPr>
        <w:t>, </w:t>
      </w:r>
      <w:r w:rsidRPr="00E47A0F">
        <w:rPr>
          <w:rFonts w:ascii="Times New Roman" w:hAnsi="Times New Roman" w:cs="Times New Roman"/>
          <w:i/>
          <w:iCs/>
          <w:sz w:val="24"/>
          <w:szCs w:val="24"/>
          <w:shd w:val="clear" w:color="auto" w:fill="FFFFFF"/>
        </w:rPr>
        <w:t>5</w:t>
      </w:r>
      <w:r w:rsidRPr="00E47A0F">
        <w:rPr>
          <w:rFonts w:ascii="Times New Roman" w:hAnsi="Times New Roman" w:cs="Times New Roman"/>
          <w:sz w:val="24"/>
          <w:szCs w:val="24"/>
          <w:shd w:val="clear" w:color="auto" w:fill="FFFFFF"/>
        </w:rPr>
        <w:t>(2), 167-188.</w:t>
      </w:r>
    </w:p>
    <w:p w14:paraId="27E77016" w14:textId="7B6EA6DB" w:rsidR="00F07D1A" w:rsidRPr="00E47A0F" w:rsidRDefault="00F07D1A" w:rsidP="008036F8">
      <w:pPr>
        <w:spacing w:line="360" w:lineRule="auto"/>
        <w:ind w:left="720" w:hanging="720"/>
        <w:contextualSpacing/>
        <w:jc w:val="both"/>
        <w:rPr>
          <w:rStyle w:val="normaltextrun"/>
          <w:rFonts w:ascii="Times New Roman" w:hAnsi="Times New Roman" w:cs="Times New Roman"/>
          <w:sz w:val="24"/>
          <w:szCs w:val="24"/>
          <w:shd w:val="clear" w:color="auto" w:fill="FFFFFF"/>
        </w:rPr>
      </w:pPr>
      <w:r w:rsidRPr="00E47A0F">
        <w:rPr>
          <w:rStyle w:val="normaltextrun"/>
          <w:rFonts w:ascii="Times New Roman" w:hAnsi="Times New Roman" w:cs="Times New Roman"/>
          <w:sz w:val="24"/>
          <w:szCs w:val="24"/>
          <w:shd w:val="clear" w:color="auto" w:fill="FFFFFF"/>
        </w:rPr>
        <w:t>Lal, </w:t>
      </w:r>
      <w:r w:rsidRPr="00E47A0F">
        <w:rPr>
          <w:rFonts w:ascii="Times New Roman" w:hAnsi="Times New Roman" w:cs="Times New Roman"/>
          <w:sz w:val="24"/>
          <w:szCs w:val="24"/>
          <w:shd w:val="clear" w:color="auto" w:fill="FFFFFF"/>
        </w:rPr>
        <w:t xml:space="preserve">B. V. </w:t>
      </w:r>
      <w:r w:rsidR="00816361" w:rsidRPr="00E47A0F">
        <w:rPr>
          <w:rFonts w:ascii="Times New Roman" w:hAnsi="Times New Roman" w:cs="Times New Roman"/>
          <w:sz w:val="24"/>
          <w:szCs w:val="24"/>
          <w:shd w:val="clear" w:color="auto" w:fill="FFFFFF"/>
        </w:rPr>
        <w:t xml:space="preserve"> (</w:t>
      </w:r>
      <w:r w:rsidRPr="00E47A0F">
        <w:rPr>
          <w:rStyle w:val="normaltextrun"/>
          <w:rFonts w:ascii="Times New Roman" w:hAnsi="Times New Roman" w:cs="Times New Roman"/>
          <w:sz w:val="24"/>
          <w:szCs w:val="24"/>
          <w:shd w:val="clear" w:color="auto" w:fill="FFFFFF"/>
        </w:rPr>
        <w:t>2012</w:t>
      </w:r>
      <w:r w:rsidR="00816361" w:rsidRPr="00E47A0F">
        <w:rPr>
          <w:rStyle w:val="normaltextrun"/>
          <w:rFonts w:ascii="Times New Roman" w:hAnsi="Times New Roman" w:cs="Times New Roman"/>
          <w:sz w:val="24"/>
          <w:szCs w:val="24"/>
          <w:shd w:val="clear" w:color="auto" w:fill="FFFFFF"/>
        </w:rPr>
        <w:t>)</w:t>
      </w:r>
      <w:r w:rsidRPr="00E47A0F">
        <w:rPr>
          <w:rStyle w:val="normaltextrun"/>
          <w:rFonts w:ascii="Times New Roman" w:hAnsi="Times New Roman" w:cs="Times New Roman"/>
          <w:sz w:val="24"/>
          <w:szCs w:val="24"/>
          <w:shd w:val="clear" w:color="auto" w:fill="FFFFFF"/>
        </w:rPr>
        <w:t>.  Origins of the Girmityas.  </w:t>
      </w:r>
      <w:r w:rsidR="00925C7F" w:rsidRPr="00E47A0F">
        <w:rPr>
          <w:rStyle w:val="normaltextrun"/>
          <w:rFonts w:ascii="Times New Roman" w:hAnsi="Times New Roman" w:cs="Times New Roman"/>
          <w:sz w:val="24"/>
          <w:szCs w:val="24"/>
          <w:shd w:val="clear" w:color="auto" w:fill="FFFFFF"/>
        </w:rPr>
        <w:t>In B. V. Lal (Ed.).</w:t>
      </w:r>
      <w:r w:rsidR="00925C7F" w:rsidRPr="00E47A0F">
        <w:rPr>
          <w:rStyle w:val="spellingerror"/>
          <w:rFonts w:ascii="Times New Roman" w:hAnsi="Times New Roman" w:cs="Times New Roman"/>
          <w:i/>
          <w:iCs/>
          <w:sz w:val="24"/>
          <w:szCs w:val="24"/>
          <w:shd w:val="clear" w:color="auto" w:fill="FFFFFF"/>
        </w:rPr>
        <w:t xml:space="preserve"> Chalo</w:t>
      </w:r>
      <w:r w:rsidR="00925C7F" w:rsidRPr="00E47A0F">
        <w:rPr>
          <w:rStyle w:val="normaltextrun"/>
          <w:rFonts w:ascii="Times New Roman" w:hAnsi="Times New Roman" w:cs="Times New Roman"/>
          <w:i/>
          <w:iCs/>
          <w:sz w:val="24"/>
          <w:szCs w:val="24"/>
          <w:shd w:val="clear" w:color="auto" w:fill="FFFFFF"/>
        </w:rPr>
        <w:t> </w:t>
      </w:r>
      <w:r w:rsidR="00925C7F" w:rsidRPr="00E47A0F">
        <w:rPr>
          <w:rStyle w:val="spellingerror"/>
          <w:rFonts w:ascii="Times New Roman" w:hAnsi="Times New Roman" w:cs="Times New Roman"/>
          <w:i/>
          <w:iCs/>
          <w:sz w:val="24"/>
          <w:szCs w:val="24"/>
          <w:shd w:val="clear" w:color="auto" w:fill="FFFFFF"/>
        </w:rPr>
        <w:t>Jahaji</w:t>
      </w:r>
      <w:r w:rsidR="00925C7F" w:rsidRPr="00E47A0F">
        <w:rPr>
          <w:rStyle w:val="normaltextrun"/>
          <w:rFonts w:ascii="Times New Roman" w:hAnsi="Times New Roman" w:cs="Times New Roman"/>
          <w:i/>
          <w:iCs/>
          <w:sz w:val="24"/>
          <w:szCs w:val="24"/>
          <w:shd w:val="clear" w:color="auto" w:fill="FFFFFF"/>
        </w:rPr>
        <w:t>: On a journey through indenture in Fiji</w:t>
      </w:r>
      <w:r w:rsidR="00925C7F" w:rsidRPr="00E47A0F">
        <w:rPr>
          <w:rStyle w:val="normaltextrun"/>
          <w:rFonts w:ascii="Times New Roman" w:hAnsi="Times New Roman" w:cs="Times New Roman"/>
          <w:sz w:val="24"/>
          <w:szCs w:val="24"/>
          <w:shd w:val="clear" w:color="auto" w:fill="FFFFFF"/>
        </w:rPr>
        <w:t> (pp. 99-119).  Canberra: ANU E-Press.</w:t>
      </w:r>
    </w:p>
    <w:p w14:paraId="48F0DB8A" w14:textId="543A0EC2" w:rsidR="00F07D1A" w:rsidRPr="00E47A0F" w:rsidRDefault="00F07D1A" w:rsidP="008036F8">
      <w:pPr>
        <w:spacing w:line="360" w:lineRule="auto"/>
        <w:ind w:left="720" w:hanging="720"/>
        <w:contextualSpacing/>
        <w:jc w:val="both"/>
        <w:rPr>
          <w:rFonts w:ascii="Times New Roman" w:eastAsia="Times New Roman" w:hAnsi="Times New Roman" w:cs="Times New Roman"/>
          <w:sz w:val="24"/>
          <w:szCs w:val="24"/>
        </w:rPr>
      </w:pPr>
      <w:r w:rsidRPr="00E47A0F">
        <w:rPr>
          <w:rStyle w:val="normaltextrun"/>
          <w:rFonts w:ascii="Times New Roman" w:hAnsi="Times New Roman" w:cs="Times New Roman"/>
          <w:color w:val="000000"/>
          <w:sz w:val="24"/>
          <w:szCs w:val="24"/>
          <w:shd w:val="clear" w:color="auto" w:fill="FFFFFF"/>
          <w:lang w:val="en-US"/>
        </w:rPr>
        <w:t>Lal, </w:t>
      </w:r>
      <w:r w:rsidRPr="00E47A0F">
        <w:rPr>
          <w:rFonts w:ascii="Times New Roman" w:hAnsi="Times New Roman" w:cs="Times New Roman"/>
          <w:sz w:val="24"/>
          <w:szCs w:val="24"/>
          <w:shd w:val="clear" w:color="auto" w:fill="FFFFFF"/>
        </w:rPr>
        <w:t xml:space="preserve">B. V. </w:t>
      </w:r>
      <w:r w:rsidRPr="00E47A0F">
        <w:rPr>
          <w:rStyle w:val="normaltextrun"/>
          <w:rFonts w:ascii="Times New Roman" w:hAnsi="Times New Roman" w:cs="Times New Roman"/>
          <w:color w:val="000000"/>
          <w:sz w:val="24"/>
          <w:szCs w:val="24"/>
          <w:shd w:val="clear" w:color="auto" w:fill="FFFFFF"/>
          <w:lang w:val="en-US"/>
        </w:rPr>
        <w:t>(2015). Avatars of Fiji’s </w:t>
      </w:r>
      <w:r w:rsidRPr="00E47A0F">
        <w:rPr>
          <w:rStyle w:val="spellingerror"/>
          <w:rFonts w:ascii="Times New Roman" w:hAnsi="Times New Roman" w:cs="Times New Roman"/>
          <w:color w:val="000000"/>
          <w:sz w:val="24"/>
          <w:szCs w:val="24"/>
          <w:shd w:val="clear" w:color="auto" w:fill="FFFFFF"/>
          <w:lang w:val="en-US"/>
        </w:rPr>
        <w:t>girmit</w:t>
      </w:r>
      <w:r w:rsidRPr="00E47A0F">
        <w:rPr>
          <w:rStyle w:val="normaltextrun"/>
          <w:rFonts w:ascii="Times New Roman" w:hAnsi="Times New Roman" w:cs="Times New Roman"/>
          <w:color w:val="000000"/>
          <w:sz w:val="24"/>
          <w:szCs w:val="24"/>
          <w:shd w:val="clear" w:color="auto" w:fill="FFFFFF"/>
          <w:lang w:val="en-US"/>
        </w:rPr>
        <w:t> narrative. In F. Gounder (Ed.). </w:t>
      </w:r>
      <w:r w:rsidRPr="00E47A0F">
        <w:rPr>
          <w:rStyle w:val="normaltextrun"/>
          <w:rFonts w:ascii="Times New Roman" w:hAnsi="Times New Roman" w:cs="Times New Roman"/>
          <w:i/>
          <w:iCs/>
          <w:color w:val="000000"/>
          <w:sz w:val="24"/>
          <w:szCs w:val="24"/>
          <w:shd w:val="clear" w:color="auto" w:fill="FFFFFF"/>
          <w:lang w:val="en-US"/>
        </w:rPr>
        <w:t>Narrative and identity construction in the Pacific Islands</w:t>
      </w:r>
      <w:r w:rsidR="00904487" w:rsidRPr="00E47A0F">
        <w:rPr>
          <w:rStyle w:val="normaltextrun"/>
          <w:rFonts w:ascii="Times New Roman" w:hAnsi="Times New Roman" w:cs="Times New Roman"/>
          <w:i/>
          <w:iCs/>
          <w:color w:val="000000"/>
          <w:sz w:val="24"/>
          <w:szCs w:val="24"/>
          <w:shd w:val="clear" w:color="auto" w:fill="FFFFFF"/>
          <w:lang w:val="en-US"/>
        </w:rPr>
        <w:t xml:space="preserve"> </w:t>
      </w:r>
      <w:r w:rsidR="00687828" w:rsidRPr="00E47A0F">
        <w:rPr>
          <w:rStyle w:val="normaltextrun"/>
          <w:rFonts w:ascii="Times New Roman" w:hAnsi="Times New Roman" w:cs="Times New Roman"/>
          <w:iCs/>
          <w:color w:val="000000"/>
          <w:sz w:val="24"/>
          <w:szCs w:val="24"/>
          <w:shd w:val="clear" w:color="auto" w:fill="FFFFFF"/>
          <w:lang w:val="en-US"/>
        </w:rPr>
        <w:t xml:space="preserve">(pp. </w:t>
      </w:r>
      <w:r w:rsidR="00904487" w:rsidRPr="00E47A0F">
        <w:rPr>
          <w:rStyle w:val="normaltextrun"/>
          <w:rFonts w:ascii="Times New Roman" w:hAnsi="Times New Roman" w:cs="Times New Roman"/>
          <w:color w:val="000000"/>
          <w:sz w:val="24"/>
          <w:szCs w:val="24"/>
          <w:shd w:val="clear" w:color="auto" w:fill="FFFFFF"/>
          <w:lang w:val="en-US"/>
        </w:rPr>
        <w:t>177-193</w:t>
      </w:r>
      <w:r w:rsidR="00687828" w:rsidRPr="00E47A0F">
        <w:rPr>
          <w:rStyle w:val="normaltextrun"/>
          <w:rFonts w:ascii="Times New Roman" w:hAnsi="Times New Roman" w:cs="Times New Roman"/>
          <w:color w:val="000000"/>
          <w:sz w:val="24"/>
          <w:szCs w:val="24"/>
          <w:shd w:val="clear" w:color="auto" w:fill="FFFFFF"/>
          <w:lang w:val="en-US"/>
        </w:rPr>
        <w:t>)</w:t>
      </w:r>
      <w:r w:rsidRPr="00E47A0F">
        <w:rPr>
          <w:rStyle w:val="normaltextrun"/>
          <w:rFonts w:ascii="Times New Roman" w:hAnsi="Times New Roman" w:cs="Times New Roman"/>
          <w:color w:val="000000"/>
          <w:sz w:val="24"/>
          <w:szCs w:val="24"/>
          <w:shd w:val="clear" w:color="auto" w:fill="FFFFFF"/>
          <w:lang w:val="en-US"/>
        </w:rPr>
        <w:t>. Amsterdam, The Netherlands: John Benjamins. </w:t>
      </w:r>
    </w:p>
    <w:p w14:paraId="55E763BA" w14:textId="69AE1B03"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Lal, Brij. V. and Munro, D.  </w:t>
      </w:r>
      <w:r w:rsidR="00816361"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2014</w:t>
      </w:r>
      <w:r w:rsidR="00816361"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 xml:space="preserve">.  Non-resistance in Fiji.  </w:t>
      </w:r>
      <w:r w:rsidR="00687828" w:rsidRPr="00E47A0F">
        <w:rPr>
          <w:rFonts w:ascii="Times New Roman" w:eastAsia="Times New Roman" w:hAnsi="Times New Roman" w:cs="Times New Roman"/>
          <w:sz w:val="24"/>
          <w:szCs w:val="24"/>
        </w:rPr>
        <w:t xml:space="preserve">In M. S. Hassankhan., B. V. Lal, and D. Munro. (Eds.).  </w:t>
      </w:r>
      <w:r w:rsidR="00687828" w:rsidRPr="00E47A0F">
        <w:rPr>
          <w:rFonts w:ascii="Times New Roman" w:eastAsia="Times New Roman" w:hAnsi="Times New Roman" w:cs="Times New Roman"/>
          <w:i/>
          <w:iCs/>
          <w:sz w:val="24"/>
          <w:szCs w:val="24"/>
        </w:rPr>
        <w:t xml:space="preserve">Resistance and Indian Indenture Experience: Comparative Perspectives </w:t>
      </w:r>
      <w:r w:rsidR="00687828" w:rsidRPr="00E47A0F">
        <w:rPr>
          <w:rFonts w:ascii="Times New Roman" w:eastAsia="Times New Roman" w:hAnsi="Times New Roman" w:cs="Times New Roman"/>
          <w:sz w:val="24"/>
          <w:szCs w:val="24"/>
        </w:rPr>
        <w:t xml:space="preserve">(pp. 121-156).  New Delhi: Manohar Publishers.  </w:t>
      </w:r>
    </w:p>
    <w:p w14:paraId="62A6E5BA" w14:textId="2D074994"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Link, B. G., &amp; Phelan, J. (1995). Social conditions as fundamental causes of disease. </w:t>
      </w:r>
      <w:r w:rsidRPr="00E47A0F">
        <w:rPr>
          <w:rFonts w:ascii="Times New Roman" w:eastAsia="Times New Roman" w:hAnsi="Times New Roman" w:cs="Times New Roman"/>
          <w:i/>
          <w:iCs/>
          <w:sz w:val="24"/>
          <w:szCs w:val="24"/>
        </w:rPr>
        <w:t xml:space="preserve">Journal of </w:t>
      </w:r>
      <w:r w:rsidR="00687828" w:rsidRPr="00E47A0F">
        <w:rPr>
          <w:rFonts w:ascii="Times New Roman" w:eastAsia="Times New Roman" w:hAnsi="Times New Roman" w:cs="Times New Roman"/>
          <w:i/>
          <w:iCs/>
          <w:sz w:val="24"/>
          <w:szCs w:val="24"/>
        </w:rPr>
        <w:t>H</w:t>
      </w:r>
      <w:r w:rsidRPr="00E47A0F">
        <w:rPr>
          <w:rFonts w:ascii="Times New Roman" w:eastAsia="Times New Roman" w:hAnsi="Times New Roman" w:cs="Times New Roman"/>
          <w:i/>
          <w:iCs/>
          <w:sz w:val="24"/>
          <w:szCs w:val="24"/>
        </w:rPr>
        <w:t xml:space="preserve">ealth and </w:t>
      </w:r>
      <w:r w:rsidR="00687828" w:rsidRPr="00E47A0F">
        <w:rPr>
          <w:rFonts w:ascii="Times New Roman" w:eastAsia="Times New Roman" w:hAnsi="Times New Roman" w:cs="Times New Roman"/>
          <w:i/>
          <w:iCs/>
          <w:sz w:val="24"/>
          <w:szCs w:val="24"/>
        </w:rPr>
        <w:t>S</w:t>
      </w:r>
      <w:r w:rsidRPr="00E47A0F">
        <w:rPr>
          <w:rFonts w:ascii="Times New Roman" w:eastAsia="Times New Roman" w:hAnsi="Times New Roman" w:cs="Times New Roman"/>
          <w:i/>
          <w:iCs/>
          <w:sz w:val="24"/>
          <w:szCs w:val="24"/>
        </w:rPr>
        <w:t xml:space="preserve">ocial </w:t>
      </w:r>
      <w:r w:rsidR="00687828" w:rsidRPr="00E47A0F">
        <w:rPr>
          <w:rFonts w:ascii="Times New Roman" w:eastAsia="Times New Roman" w:hAnsi="Times New Roman" w:cs="Times New Roman"/>
          <w:i/>
          <w:iCs/>
          <w:sz w:val="24"/>
          <w:szCs w:val="24"/>
        </w:rPr>
        <w:t>B</w:t>
      </w:r>
      <w:r w:rsidRPr="00E47A0F">
        <w:rPr>
          <w:rFonts w:ascii="Times New Roman" w:eastAsia="Times New Roman" w:hAnsi="Times New Roman" w:cs="Times New Roman"/>
          <w:i/>
          <w:iCs/>
          <w:sz w:val="24"/>
          <w:szCs w:val="24"/>
        </w:rPr>
        <w:t>ehavior</w:t>
      </w:r>
      <w:r w:rsidRPr="00E47A0F">
        <w:rPr>
          <w:rFonts w:ascii="Times New Roman" w:eastAsia="Times New Roman" w:hAnsi="Times New Roman" w:cs="Times New Roman"/>
          <w:sz w:val="24"/>
          <w:szCs w:val="24"/>
        </w:rPr>
        <w:t>, 80-94.</w:t>
      </w:r>
    </w:p>
    <w:p w14:paraId="37C7F81F" w14:textId="77777777"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lastRenderedPageBreak/>
        <w:t xml:space="preserve">Lipscomb, H. J., Loomis, D., McDonald, M. A., Argue, R. A., &amp; Wing, S. (2006). A conceptual model of work and health disparities in the United States. </w:t>
      </w:r>
      <w:r w:rsidRPr="00E47A0F">
        <w:rPr>
          <w:rFonts w:ascii="Times New Roman" w:eastAsia="Times New Roman" w:hAnsi="Times New Roman" w:cs="Times New Roman"/>
          <w:i/>
          <w:iCs/>
          <w:sz w:val="24"/>
          <w:szCs w:val="24"/>
        </w:rPr>
        <w:t>International Journal of Health Services</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36</w:t>
      </w:r>
      <w:r w:rsidRPr="00E47A0F">
        <w:rPr>
          <w:rFonts w:ascii="Times New Roman" w:eastAsia="Times New Roman" w:hAnsi="Times New Roman" w:cs="Times New Roman"/>
          <w:sz w:val="24"/>
          <w:szCs w:val="24"/>
        </w:rPr>
        <w:t>(1), 25-50.</w:t>
      </w:r>
    </w:p>
    <w:p w14:paraId="0D869827" w14:textId="77777777" w:rsidR="00610903" w:rsidRPr="00E47A0F" w:rsidRDefault="00610903" w:rsidP="008036F8">
      <w:pPr>
        <w:spacing w:line="360" w:lineRule="auto"/>
        <w:ind w:left="720" w:hanging="720"/>
        <w:contextualSpacing/>
        <w:jc w:val="both"/>
        <w:rPr>
          <w:rFonts w:ascii="Times New Roman" w:hAnsi="Times New Roman" w:cs="Times New Roman"/>
          <w:sz w:val="24"/>
          <w:szCs w:val="24"/>
          <w:shd w:val="clear" w:color="auto" w:fill="FFFFFF"/>
        </w:rPr>
      </w:pPr>
      <w:r w:rsidRPr="00E47A0F">
        <w:rPr>
          <w:rFonts w:ascii="Times New Roman" w:hAnsi="Times New Roman" w:cs="Times New Roman"/>
          <w:sz w:val="24"/>
          <w:szCs w:val="24"/>
          <w:shd w:val="clear" w:color="auto" w:fill="FFFFFF"/>
        </w:rPr>
        <w:t>Lynch, J. W., Kaplan, G. A., &amp; Shema, S. J. (1997). Cumulative impact of sustained economic hardship on physical, cognitive, psychological, and social functioning. </w:t>
      </w:r>
      <w:r w:rsidRPr="00E47A0F">
        <w:rPr>
          <w:rFonts w:ascii="Times New Roman" w:hAnsi="Times New Roman" w:cs="Times New Roman"/>
          <w:i/>
          <w:iCs/>
          <w:sz w:val="24"/>
          <w:szCs w:val="24"/>
          <w:shd w:val="clear" w:color="auto" w:fill="FFFFFF"/>
        </w:rPr>
        <w:t>New England Journal of Medicine</w:t>
      </w:r>
      <w:r w:rsidRPr="00E47A0F">
        <w:rPr>
          <w:rFonts w:ascii="Times New Roman" w:hAnsi="Times New Roman" w:cs="Times New Roman"/>
          <w:sz w:val="24"/>
          <w:szCs w:val="24"/>
          <w:shd w:val="clear" w:color="auto" w:fill="FFFFFF"/>
        </w:rPr>
        <w:t>, </w:t>
      </w:r>
      <w:r w:rsidRPr="00E47A0F">
        <w:rPr>
          <w:rFonts w:ascii="Times New Roman" w:hAnsi="Times New Roman" w:cs="Times New Roman"/>
          <w:i/>
          <w:iCs/>
          <w:sz w:val="24"/>
          <w:szCs w:val="24"/>
          <w:shd w:val="clear" w:color="auto" w:fill="FFFFFF"/>
        </w:rPr>
        <w:t>337</w:t>
      </w:r>
      <w:r w:rsidRPr="00E47A0F">
        <w:rPr>
          <w:rFonts w:ascii="Times New Roman" w:hAnsi="Times New Roman" w:cs="Times New Roman"/>
          <w:sz w:val="24"/>
          <w:szCs w:val="24"/>
          <w:shd w:val="clear" w:color="auto" w:fill="FFFFFF"/>
        </w:rPr>
        <w:t>(26), 1889-1895.</w:t>
      </w:r>
    </w:p>
    <w:p w14:paraId="7F87D04E" w14:textId="76898384" w:rsidR="00610903" w:rsidRPr="00E47A0F" w:rsidRDefault="00610903" w:rsidP="008036F8">
      <w:pPr>
        <w:spacing w:line="360" w:lineRule="auto"/>
        <w:ind w:left="720" w:hanging="720"/>
        <w:contextualSpacing/>
        <w:jc w:val="both"/>
        <w:rPr>
          <w:rFonts w:ascii="Times New Roman" w:eastAsia="Times New Roman" w:hAnsi="Times New Roman" w:cs="Times New Roman"/>
          <w:sz w:val="24"/>
          <w:szCs w:val="24"/>
        </w:rPr>
      </w:pPr>
      <w:r w:rsidRPr="00E47A0F">
        <w:rPr>
          <w:rFonts w:ascii="Times New Roman" w:hAnsi="Times New Roman" w:cs="Times New Roman"/>
          <w:sz w:val="24"/>
          <w:szCs w:val="24"/>
        </w:rPr>
        <w:t xml:space="preserve">Mahase, R. (2014). </w:t>
      </w:r>
      <w:r w:rsidRPr="00E47A0F">
        <w:rPr>
          <w:rFonts w:ascii="Times New Roman" w:hAnsi="Times New Roman" w:cs="Times New Roman"/>
          <w:sz w:val="24"/>
          <w:szCs w:val="24"/>
          <w:shd w:val="clear" w:color="auto" w:fill="FFFFFF"/>
        </w:rPr>
        <w:t xml:space="preserve"> ‘Plenty A Dem Run Away’: Indian Indentured Resistance in Trinidad, 1870 to 1920.  </w:t>
      </w:r>
      <w:r w:rsidR="00687828" w:rsidRPr="00E47A0F">
        <w:rPr>
          <w:rFonts w:ascii="Times New Roman" w:eastAsia="Times New Roman" w:hAnsi="Times New Roman" w:cs="Times New Roman"/>
          <w:sz w:val="24"/>
          <w:szCs w:val="24"/>
        </w:rPr>
        <w:t xml:space="preserve">In M. S. Hassankhan., B. V. Lal, and D. Munro. (Eds.).  </w:t>
      </w:r>
      <w:r w:rsidR="00687828" w:rsidRPr="00E47A0F">
        <w:rPr>
          <w:rFonts w:ascii="Times New Roman" w:eastAsia="Times New Roman" w:hAnsi="Times New Roman" w:cs="Times New Roman"/>
          <w:i/>
          <w:iCs/>
          <w:sz w:val="24"/>
          <w:szCs w:val="24"/>
        </w:rPr>
        <w:t xml:space="preserve">Resistance and Indian Indenture Experience: Comparative Perspectives </w:t>
      </w:r>
      <w:r w:rsidR="00687828" w:rsidRPr="00E47A0F">
        <w:rPr>
          <w:rFonts w:ascii="Times New Roman" w:eastAsia="Times New Roman" w:hAnsi="Times New Roman" w:cs="Times New Roman"/>
          <w:sz w:val="24"/>
          <w:szCs w:val="24"/>
        </w:rPr>
        <w:t xml:space="preserve">(pp. 183-198).  New Delhi: Manohar Publishers.  </w:t>
      </w:r>
    </w:p>
    <w:p w14:paraId="3E82E4CA" w14:textId="60B86CF3" w:rsidR="001B51A8" w:rsidRPr="00E47A0F" w:rsidRDefault="001B51A8" w:rsidP="008036F8">
      <w:pPr>
        <w:spacing w:line="360" w:lineRule="auto"/>
        <w:ind w:left="720" w:hanging="720"/>
        <w:contextualSpacing/>
        <w:jc w:val="both"/>
        <w:rPr>
          <w:rFonts w:ascii="Times New Roman" w:hAnsi="Times New Roman" w:cs="Times New Roman"/>
          <w:sz w:val="24"/>
          <w:szCs w:val="24"/>
        </w:rPr>
      </w:pPr>
      <w:r w:rsidRPr="001B51A8">
        <w:rPr>
          <w:rFonts w:ascii="Times New Roman" w:hAnsi="Times New Roman" w:cs="Times New Roman"/>
          <w:sz w:val="24"/>
          <w:szCs w:val="24"/>
        </w:rPr>
        <w:t>Gov</w:t>
      </w:r>
      <w:r>
        <w:rPr>
          <w:rFonts w:ascii="Times New Roman" w:hAnsi="Times New Roman" w:cs="Times New Roman"/>
          <w:sz w:val="24"/>
          <w:szCs w:val="24"/>
        </w:rPr>
        <w:t xml:space="preserve">ernment of Mauritius. (2011).  </w:t>
      </w:r>
      <w:r w:rsidRPr="001B51A8">
        <w:rPr>
          <w:rFonts w:ascii="Times New Roman" w:hAnsi="Times New Roman" w:cs="Times New Roman"/>
          <w:sz w:val="24"/>
          <w:szCs w:val="24"/>
        </w:rPr>
        <w:t>Mauritius Truth and Justice Commission Report, Volume I: Report of the Truth and Justice Commission.</w:t>
      </w:r>
    </w:p>
    <w:p w14:paraId="3074E206" w14:textId="77777777"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McEwen, B. S., &amp; Seeman, T. (1999). Protective and damaging effects of mediators of stress: elaborating and testing the concepts of allostasis and allostatic load. </w:t>
      </w:r>
      <w:r w:rsidRPr="00E47A0F">
        <w:rPr>
          <w:rFonts w:ascii="Times New Roman" w:eastAsia="Times New Roman" w:hAnsi="Times New Roman" w:cs="Times New Roman"/>
          <w:i/>
          <w:iCs/>
          <w:sz w:val="24"/>
          <w:szCs w:val="24"/>
        </w:rPr>
        <w:t>Annals of the New York Academy of Sciences</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896</w:t>
      </w:r>
      <w:r w:rsidRPr="00E47A0F">
        <w:rPr>
          <w:rFonts w:ascii="Times New Roman" w:eastAsia="Times New Roman" w:hAnsi="Times New Roman" w:cs="Times New Roman"/>
          <w:sz w:val="24"/>
          <w:szCs w:val="24"/>
        </w:rPr>
        <w:t>(1), 30-47.</w:t>
      </w:r>
    </w:p>
    <w:p w14:paraId="0F0FC7F7" w14:textId="2974069B"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Mishra, Margaret.  </w:t>
      </w:r>
      <w:r w:rsidR="00816361"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2008</w:t>
      </w:r>
      <w:r w:rsidR="00816361"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 xml:space="preserve">.  The Emergence of Feminism in Fiji. </w:t>
      </w:r>
      <w:r w:rsidRPr="00E47A0F">
        <w:rPr>
          <w:rFonts w:ascii="Times New Roman" w:eastAsia="Times New Roman" w:hAnsi="Times New Roman" w:cs="Times New Roman"/>
          <w:i/>
          <w:iCs/>
          <w:sz w:val="24"/>
          <w:szCs w:val="24"/>
        </w:rPr>
        <w:t>Women's History Review</w:t>
      </w:r>
      <w:r w:rsidRPr="00E47A0F">
        <w:rPr>
          <w:rFonts w:ascii="Times New Roman" w:eastAsia="Times New Roman" w:hAnsi="Times New Roman" w:cs="Times New Roman"/>
          <w:sz w:val="24"/>
          <w:szCs w:val="24"/>
        </w:rPr>
        <w:t>, 17(1): 39-55.</w:t>
      </w:r>
      <w:r w:rsidRPr="00E47A0F">
        <w:rPr>
          <w:rFonts w:ascii="Times New Roman" w:eastAsia="Arial" w:hAnsi="Times New Roman" w:cs="Times New Roman"/>
          <w:sz w:val="24"/>
          <w:szCs w:val="24"/>
        </w:rPr>
        <w:t xml:space="preserve"> </w:t>
      </w:r>
    </w:p>
    <w:p w14:paraId="6B7702A7" w14:textId="77777777" w:rsidR="00610903" w:rsidRPr="00E47A0F" w:rsidRDefault="00610903" w:rsidP="008036F8">
      <w:pPr>
        <w:spacing w:line="360" w:lineRule="auto"/>
        <w:ind w:left="720" w:hanging="720"/>
        <w:contextualSpacing/>
        <w:jc w:val="both"/>
        <w:rPr>
          <w:rFonts w:ascii="Times New Roman" w:hAnsi="Times New Roman" w:cs="Times New Roman"/>
          <w:sz w:val="24"/>
          <w:szCs w:val="24"/>
          <w:shd w:val="clear" w:color="auto" w:fill="FFFFFF"/>
        </w:rPr>
      </w:pPr>
      <w:r w:rsidRPr="00E47A0F">
        <w:rPr>
          <w:rFonts w:ascii="Times New Roman" w:eastAsia="Times New Roman" w:hAnsi="Times New Roman" w:cs="Times New Roman"/>
          <w:sz w:val="24"/>
          <w:szCs w:val="24"/>
        </w:rPr>
        <w:t xml:space="preserve">Mohanty, B. B. (2005). ‘We are like the living dead’: farmer suicides in Maharashtra, Western India. </w:t>
      </w:r>
      <w:r w:rsidRPr="00E47A0F">
        <w:rPr>
          <w:rFonts w:ascii="Times New Roman" w:eastAsia="Times New Roman" w:hAnsi="Times New Roman" w:cs="Times New Roman"/>
          <w:i/>
          <w:iCs/>
          <w:sz w:val="24"/>
          <w:szCs w:val="24"/>
        </w:rPr>
        <w:t>Journal of Peasant Studies</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32</w:t>
      </w:r>
      <w:r w:rsidRPr="00E47A0F">
        <w:rPr>
          <w:rFonts w:ascii="Times New Roman" w:eastAsia="Times New Roman" w:hAnsi="Times New Roman" w:cs="Times New Roman"/>
          <w:sz w:val="24"/>
          <w:szCs w:val="24"/>
        </w:rPr>
        <w:t>(2), 243-276.</w:t>
      </w:r>
    </w:p>
    <w:p w14:paraId="4FADBC26" w14:textId="621268F7"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Naidu, Vijay.  </w:t>
      </w:r>
      <w:r w:rsidR="005C7FE5"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2004</w:t>
      </w:r>
      <w:r w:rsidR="005C7FE5"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The Violence of Indenture in Fiji</w:t>
      </w:r>
      <w:r w:rsidRPr="00E47A0F">
        <w:rPr>
          <w:rFonts w:ascii="Times New Roman" w:eastAsia="Times New Roman" w:hAnsi="Times New Roman" w:cs="Times New Roman"/>
          <w:sz w:val="24"/>
          <w:szCs w:val="24"/>
        </w:rPr>
        <w:t xml:space="preserve"> (2</w:t>
      </w:r>
      <w:r w:rsidRPr="00E47A0F">
        <w:rPr>
          <w:rFonts w:ascii="Times New Roman" w:eastAsia="Times New Roman" w:hAnsi="Times New Roman" w:cs="Times New Roman"/>
          <w:sz w:val="24"/>
          <w:szCs w:val="24"/>
          <w:vertAlign w:val="superscript"/>
        </w:rPr>
        <w:t>nd</w:t>
      </w:r>
      <w:r w:rsidRPr="00E47A0F">
        <w:rPr>
          <w:rFonts w:ascii="Times New Roman" w:eastAsia="Times New Roman" w:hAnsi="Times New Roman" w:cs="Times New Roman"/>
          <w:sz w:val="24"/>
          <w:szCs w:val="24"/>
        </w:rPr>
        <w:t xml:space="preserve"> ed).  Lautoka, Fiji: Fiji Institute of Applied Studies.  </w:t>
      </w:r>
    </w:p>
    <w:p w14:paraId="5717E4D4" w14:textId="6F86C185"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Quesada, J., Hart, L. K., &amp; Bourgois, P. (2011). Structural vulnerability and health: Latino migrant laborers in the United States. </w:t>
      </w:r>
      <w:r w:rsidRPr="00E47A0F">
        <w:rPr>
          <w:rFonts w:ascii="Times New Roman" w:eastAsia="Times New Roman" w:hAnsi="Times New Roman" w:cs="Times New Roman"/>
          <w:i/>
          <w:iCs/>
          <w:sz w:val="24"/>
          <w:szCs w:val="24"/>
        </w:rPr>
        <w:t xml:space="preserve">Medical </w:t>
      </w:r>
      <w:r w:rsidR="005C7FE5" w:rsidRPr="00E47A0F">
        <w:rPr>
          <w:rFonts w:ascii="Times New Roman" w:eastAsia="Times New Roman" w:hAnsi="Times New Roman" w:cs="Times New Roman"/>
          <w:i/>
          <w:iCs/>
          <w:sz w:val="24"/>
          <w:szCs w:val="24"/>
        </w:rPr>
        <w:t>A</w:t>
      </w:r>
      <w:r w:rsidRPr="00E47A0F">
        <w:rPr>
          <w:rFonts w:ascii="Times New Roman" w:eastAsia="Times New Roman" w:hAnsi="Times New Roman" w:cs="Times New Roman"/>
          <w:i/>
          <w:iCs/>
          <w:sz w:val="24"/>
          <w:szCs w:val="24"/>
        </w:rPr>
        <w:t>nthropology</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30</w:t>
      </w:r>
      <w:r w:rsidRPr="00E47A0F">
        <w:rPr>
          <w:rFonts w:ascii="Times New Roman" w:eastAsia="Times New Roman" w:hAnsi="Times New Roman" w:cs="Times New Roman"/>
          <w:sz w:val="24"/>
          <w:szCs w:val="24"/>
        </w:rPr>
        <w:t>(4), 339-362.</w:t>
      </w:r>
    </w:p>
    <w:p w14:paraId="4AB28FDA" w14:textId="77777777"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hAnsi="Times New Roman" w:cs="Times New Roman"/>
          <w:sz w:val="24"/>
          <w:szCs w:val="24"/>
          <w:shd w:val="clear" w:color="auto" w:fill="FFFFFF"/>
        </w:rPr>
        <w:t>Scoones, I. (1998). Sustainable rural livelihoods: a framework for analysis.</w:t>
      </w:r>
    </w:p>
    <w:p w14:paraId="3F457B2F" w14:textId="5127868A" w:rsidR="00610903" w:rsidRPr="00E47A0F" w:rsidRDefault="00610903" w:rsidP="008036F8">
      <w:pPr>
        <w:pStyle w:val="paragraph"/>
        <w:spacing w:before="0" w:beforeAutospacing="0" w:after="0" w:afterAutospacing="0" w:line="360" w:lineRule="auto"/>
        <w:ind w:left="720" w:hanging="720"/>
        <w:contextualSpacing/>
        <w:jc w:val="both"/>
        <w:textAlignment w:val="baseline"/>
        <w:rPr>
          <w:rStyle w:val="eop"/>
        </w:rPr>
      </w:pPr>
      <w:r w:rsidRPr="00E47A0F">
        <w:rPr>
          <w:rStyle w:val="normaltextrun"/>
        </w:rPr>
        <w:t xml:space="preserve">Scott, James. C. </w:t>
      </w:r>
      <w:r w:rsidR="00816361" w:rsidRPr="00E47A0F">
        <w:rPr>
          <w:rStyle w:val="normaltextrun"/>
        </w:rPr>
        <w:t>(</w:t>
      </w:r>
      <w:r w:rsidRPr="00E47A0F">
        <w:rPr>
          <w:rStyle w:val="normaltextrun"/>
        </w:rPr>
        <w:t>1985</w:t>
      </w:r>
      <w:r w:rsidR="00816361" w:rsidRPr="00E47A0F">
        <w:rPr>
          <w:rStyle w:val="normaltextrun"/>
        </w:rPr>
        <w:t>)</w:t>
      </w:r>
      <w:r w:rsidRPr="00E47A0F">
        <w:rPr>
          <w:rStyle w:val="normaltextrun"/>
        </w:rPr>
        <w:t>.  </w:t>
      </w:r>
      <w:r w:rsidRPr="00E47A0F">
        <w:rPr>
          <w:rStyle w:val="normaltextrun"/>
          <w:i/>
          <w:iCs/>
        </w:rPr>
        <w:t xml:space="preserve">Weapons of the </w:t>
      </w:r>
      <w:r w:rsidR="00687828" w:rsidRPr="00E47A0F">
        <w:rPr>
          <w:rStyle w:val="normaltextrun"/>
          <w:i/>
          <w:iCs/>
        </w:rPr>
        <w:t>w</w:t>
      </w:r>
      <w:r w:rsidRPr="00E47A0F">
        <w:rPr>
          <w:rStyle w:val="normaltextrun"/>
          <w:i/>
          <w:iCs/>
        </w:rPr>
        <w:t xml:space="preserve">eak: Everyday </w:t>
      </w:r>
      <w:r w:rsidR="00687828" w:rsidRPr="00E47A0F">
        <w:rPr>
          <w:rStyle w:val="normaltextrun"/>
          <w:i/>
          <w:iCs/>
        </w:rPr>
        <w:t>f</w:t>
      </w:r>
      <w:r w:rsidRPr="00E47A0F">
        <w:rPr>
          <w:rStyle w:val="normaltextrun"/>
          <w:i/>
          <w:iCs/>
        </w:rPr>
        <w:t xml:space="preserve">orms of </w:t>
      </w:r>
      <w:r w:rsidR="00687828" w:rsidRPr="00E47A0F">
        <w:rPr>
          <w:rStyle w:val="normaltextrun"/>
          <w:i/>
          <w:iCs/>
        </w:rPr>
        <w:t>p</w:t>
      </w:r>
      <w:r w:rsidRPr="00E47A0F">
        <w:rPr>
          <w:rStyle w:val="normaltextrun"/>
          <w:i/>
          <w:iCs/>
        </w:rPr>
        <w:t xml:space="preserve">easant </w:t>
      </w:r>
      <w:r w:rsidR="00687828" w:rsidRPr="00E47A0F">
        <w:rPr>
          <w:rStyle w:val="normaltextrun"/>
          <w:i/>
          <w:iCs/>
        </w:rPr>
        <w:t>r</w:t>
      </w:r>
      <w:r w:rsidRPr="00E47A0F">
        <w:rPr>
          <w:rStyle w:val="normaltextrun"/>
          <w:i/>
          <w:iCs/>
        </w:rPr>
        <w:t>esistance</w:t>
      </w:r>
      <w:r w:rsidRPr="00E47A0F">
        <w:rPr>
          <w:rStyle w:val="normaltextrun"/>
        </w:rPr>
        <w:t>.  New Haven, CT: Yale University Press.</w:t>
      </w:r>
      <w:r w:rsidRPr="00E47A0F">
        <w:rPr>
          <w:rStyle w:val="eop"/>
        </w:rPr>
        <w:t> </w:t>
      </w:r>
    </w:p>
    <w:p w14:paraId="67937D82" w14:textId="77777777"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hAnsi="Times New Roman" w:cs="Times New Roman"/>
          <w:sz w:val="24"/>
          <w:szCs w:val="24"/>
          <w:shd w:val="clear" w:color="auto" w:fill="FFFFFF"/>
        </w:rPr>
        <w:t>Scott, W. R. (2008). </w:t>
      </w:r>
      <w:r w:rsidRPr="00E47A0F">
        <w:rPr>
          <w:rFonts w:ascii="Times New Roman" w:hAnsi="Times New Roman" w:cs="Times New Roman"/>
          <w:i/>
          <w:iCs/>
          <w:sz w:val="24"/>
          <w:szCs w:val="24"/>
          <w:shd w:val="clear" w:color="auto" w:fill="FFFFFF"/>
        </w:rPr>
        <w:t>Institutions and organizations: Ideas and interests</w:t>
      </w:r>
      <w:r w:rsidRPr="00E47A0F">
        <w:rPr>
          <w:rFonts w:ascii="Times New Roman" w:hAnsi="Times New Roman" w:cs="Times New Roman"/>
          <w:sz w:val="24"/>
          <w:szCs w:val="24"/>
          <w:shd w:val="clear" w:color="auto" w:fill="FFFFFF"/>
        </w:rPr>
        <w:t>. Sage.</w:t>
      </w:r>
    </w:p>
    <w:p w14:paraId="2042D05A" w14:textId="36E78768"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Shameem, Shaista. </w:t>
      </w:r>
      <w:r w:rsidR="00656DAB"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sz w:val="24"/>
          <w:szCs w:val="24"/>
        </w:rPr>
        <w:t>1990</w:t>
      </w:r>
      <w:r w:rsidR="00656DAB"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w:t>
      </w:r>
      <w:r w:rsidR="00656DAB"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sz w:val="24"/>
          <w:szCs w:val="24"/>
        </w:rPr>
        <w:t xml:space="preserve"> </w:t>
      </w:r>
      <w:r w:rsidRPr="00E47A0F">
        <w:rPr>
          <w:rFonts w:ascii="Times New Roman" w:eastAsia="Times New Roman" w:hAnsi="Times New Roman" w:cs="Times New Roman"/>
          <w:i/>
          <w:iCs/>
          <w:sz w:val="24"/>
          <w:szCs w:val="24"/>
        </w:rPr>
        <w:t xml:space="preserve">Sugar and </w:t>
      </w:r>
      <w:r w:rsidR="005C7FE5" w:rsidRPr="00E47A0F">
        <w:rPr>
          <w:rFonts w:ascii="Times New Roman" w:eastAsia="Times New Roman" w:hAnsi="Times New Roman" w:cs="Times New Roman"/>
          <w:i/>
          <w:iCs/>
          <w:sz w:val="24"/>
          <w:szCs w:val="24"/>
        </w:rPr>
        <w:t>s</w:t>
      </w:r>
      <w:r w:rsidRPr="00E47A0F">
        <w:rPr>
          <w:rFonts w:ascii="Times New Roman" w:eastAsia="Times New Roman" w:hAnsi="Times New Roman" w:cs="Times New Roman"/>
          <w:i/>
          <w:iCs/>
          <w:sz w:val="24"/>
          <w:szCs w:val="24"/>
        </w:rPr>
        <w:t xml:space="preserve">pice: Wealth </w:t>
      </w:r>
      <w:r w:rsidR="005C7FE5" w:rsidRPr="00E47A0F">
        <w:rPr>
          <w:rFonts w:ascii="Times New Roman" w:eastAsia="Times New Roman" w:hAnsi="Times New Roman" w:cs="Times New Roman"/>
          <w:i/>
          <w:iCs/>
          <w:sz w:val="24"/>
          <w:szCs w:val="24"/>
        </w:rPr>
        <w:t>a</w:t>
      </w:r>
      <w:r w:rsidRPr="00E47A0F">
        <w:rPr>
          <w:rFonts w:ascii="Times New Roman" w:eastAsia="Times New Roman" w:hAnsi="Times New Roman" w:cs="Times New Roman"/>
          <w:i/>
          <w:iCs/>
          <w:sz w:val="24"/>
          <w:szCs w:val="24"/>
        </w:rPr>
        <w:t xml:space="preserve">ccumulation and the </w:t>
      </w:r>
      <w:r w:rsidR="005C7FE5" w:rsidRPr="00E47A0F">
        <w:rPr>
          <w:rFonts w:ascii="Times New Roman" w:eastAsia="Times New Roman" w:hAnsi="Times New Roman" w:cs="Times New Roman"/>
          <w:i/>
          <w:iCs/>
          <w:sz w:val="24"/>
          <w:szCs w:val="24"/>
        </w:rPr>
        <w:t>l</w:t>
      </w:r>
      <w:r w:rsidRPr="00E47A0F">
        <w:rPr>
          <w:rFonts w:ascii="Times New Roman" w:eastAsia="Times New Roman" w:hAnsi="Times New Roman" w:cs="Times New Roman"/>
          <w:i/>
          <w:iCs/>
          <w:sz w:val="24"/>
          <w:szCs w:val="24"/>
        </w:rPr>
        <w:t xml:space="preserve">abour of Indian </w:t>
      </w:r>
      <w:r w:rsidR="005C7FE5" w:rsidRPr="00E47A0F">
        <w:rPr>
          <w:rFonts w:ascii="Times New Roman" w:eastAsia="Times New Roman" w:hAnsi="Times New Roman" w:cs="Times New Roman"/>
          <w:i/>
          <w:iCs/>
          <w:sz w:val="24"/>
          <w:szCs w:val="24"/>
        </w:rPr>
        <w:t>w</w:t>
      </w:r>
      <w:r w:rsidRPr="00E47A0F">
        <w:rPr>
          <w:rFonts w:ascii="Times New Roman" w:eastAsia="Times New Roman" w:hAnsi="Times New Roman" w:cs="Times New Roman"/>
          <w:i/>
          <w:iCs/>
          <w:sz w:val="24"/>
          <w:szCs w:val="24"/>
        </w:rPr>
        <w:t>omen in Fiji, 1879-1930</w:t>
      </w:r>
      <w:r w:rsidRPr="00E47A0F">
        <w:rPr>
          <w:rFonts w:ascii="Times New Roman" w:eastAsia="Times New Roman" w:hAnsi="Times New Roman" w:cs="Times New Roman"/>
          <w:sz w:val="24"/>
          <w:szCs w:val="24"/>
        </w:rPr>
        <w:t xml:space="preserve"> (Doctoral dissertation, University of Waikato).</w:t>
      </w:r>
      <w:r w:rsidRPr="00E47A0F">
        <w:rPr>
          <w:rFonts w:ascii="Times New Roman" w:eastAsia="Arial" w:hAnsi="Times New Roman" w:cs="Times New Roman"/>
          <w:sz w:val="24"/>
          <w:szCs w:val="24"/>
        </w:rPr>
        <w:t xml:space="preserve"> </w:t>
      </w:r>
    </w:p>
    <w:p w14:paraId="3E3FC44B" w14:textId="1E1DAD04"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 xml:space="preserve">Tinker, H. (1974). </w:t>
      </w:r>
      <w:r w:rsidRPr="00E47A0F">
        <w:rPr>
          <w:rFonts w:ascii="Times New Roman" w:eastAsia="Times New Roman" w:hAnsi="Times New Roman" w:cs="Times New Roman"/>
          <w:i/>
          <w:iCs/>
          <w:sz w:val="24"/>
          <w:szCs w:val="24"/>
        </w:rPr>
        <w:t xml:space="preserve">A </w:t>
      </w:r>
      <w:r w:rsidR="00687828" w:rsidRPr="00E47A0F">
        <w:rPr>
          <w:rFonts w:ascii="Times New Roman" w:eastAsia="Times New Roman" w:hAnsi="Times New Roman" w:cs="Times New Roman"/>
          <w:i/>
          <w:iCs/>
          <w:sz w:val="24"/>
          <w:szCs w:val="24"/>
        </w:rPr>
        <w:t>n</w:t>
      </w:r>
      <w:r w:rsidRPr="00E47A0F">
        <w:rPr>
          <w:rFonts w:ascii="Times New Roman" w:eastAsia="Times New Roman" w:hAnsi="Times New Roman" w:cs="Times New Roman"/>
          <w:i/>
          <w:iCs/>
          <w:sz w:val="24"/>
          <w:szCs w:val="24"/>
        </w:rPr>
        <w:t xml:space="preserve">ew </w:t>
      </w:r>
      <w:r w:rsidR="00687828" w:rsidRPr="00E47A0F">
        <w:rPr>
          <w:rFonts w:ascii="Times New Roman" w:eastAsia="Times New Roman" w:hAnsi="Times New Roman" w:cs="Times New Roman"/>
          <w:i/>
          <w:iCs/>
          <w:sz w:val="24"/>
          <w:szCs w:val="24"/>
        </w:rPr>
        <w:t>s</w:t>
      </w:r>
      <w:r w:rsidRPr="00E47A0F">
        <w:rPr>
          <w:rFonts w:ascii="Times New Roman" w:eastAsia="Times New Roman" w:hAnsi="Times New Roman" w:cs="Times New Roman"/>
          <w:i/>
          <w:iCs/>
          <w:sz w:val="24"/>
          <w:szCs w:val="24"/>
        </w:rPr>
        <w:t xml:space="preserve">ystem of </w:t>
      </w:r>
      <w:r w:rsidR="00687828" w:rsidRPr="00E47A0F">
        <w:rPr>
          <w:rFonts w:ascii="Times New Roman" w:eastAsia="Times New Roman" w:hAnsi="Times New Roman" w:cs="Times New Roman"/>
          <w:i/>
          <w:iCs/>
          <w:sz w:val="24"/>
          <w:szCs w:val="24"/>
        </w:rPr>
        <w:t>s</w:t>
      </w:r>
      <w:r w:rsidRPr="00E47A0F">
        <w:rPr>
          <w:rFonts w:ascii="Times New Roman" w:eastAsia="Times New Roman" w:hAnsi="Times New Roman" w:cs="Times New Roman"/>
          <w:i/>
          <w:iCs/>
          <w:sz w:val="24"/>
          <w:szCs w:val="24"/>
        </w:rPr>
        <w:t>lavery: The export of Indian labour overseas 1820-1920</w:t>
      </w:r>
      <w:r w:rsidRPr="00E47A0F">
        <w:rPr>
          <w:rFonts w:ascii="Times New Roman" w:eastAsia="Times New Roman" w:hAnsi="Times New Roman" w:cs="Times New Roman"/>
          <w:sz w:val="24"/>
          <w:szCs w:val="24"/>
        </w:rPr>
        <w:t>.  London: Oxford University Press.</w:t>
      </w:r>
    </w:p>
    <w:p w14:paraId="2F5A428B" w14:textId="40EADCAB" w:rsidR="00610903" w:rsidRPr="00E47A0F" w:rsidRDefault="00610903" w:rsidP="008036F8">
      <w:pPr>
        <w:spacing w:line="360" w:lineRule="auto"/>
        <w:ind w:left="720" w:hanging="720"/>
        <w:contextualSpacing/>
        <w:jc w:val="both"/>
        <w:rPr>
          <w:rFonts w:ascii="Times New Roman" w:hAnsi="Times New Roman" w:cs="Times New Roman"/>
          <w:sz w:val="24"/>
          <w:szCs w:val="24"/>
        </w:rPr>
      </w:pPr>
      <w:r w:rsidRPr="00E47A0F">
        <w:rPr>
          <w:rFonts w:ascii="Times New Roman" w:eastAsia="Times New Roman" w:hAnsi="Times New Roman" w:cs="Times New Roman"/>
          <w:sz w:val="24"/>
          <w:szCs w:val="24"/>
        </w:rPr>
        <w:t>Vahed</w:t>
      </w:r>
      <w:r w:rsidRPr="00E47A0F">
        <w:rPr>
          <w:rFonts w:ascii="Times New Roman" w:eastAsia="Georgia" w:hAnsi="Times New Roman" w:cs="Times New Roman"/>
          <w:sz w:val="24"/>
          <w:szCs w:val="24"/>
        </w:rPr>
        <w:t xml:space="preserve">, </w:t>
      </w:r>
      <w:r w:rsidRPr="00E47A0F">
        <w:rPr>
          <w:rFonts w:ascii="Times New Roman" w:eastAsia="Times New Roman" w:hAnsi="Times New Roman" w:cs="Times New Roman"/>
          <w:sz w:val="24"/>
          <w:szCs w:val="24"/>
        </w:rPr>
        <w:t>G</w:t>
      </w:r>
      <w:r w:rsidRPr="00E47A0F">
        <w:rPr>
          <w:rFonts w:ascii="Times New Roman" w:eastAsia="Georgia" w:hAnsi="Times New Roman" w:cs="Times New Roman"/>
          <w:sz w:val="24"/>
          <w:szCs w:val="24"/>
        </w:rPr>
        <w:t xml:space="preserve">.  </w:t>
      </w:r>
      <w:r w:rsidR="00656DAB" w:rsidRPr="00E47A0F">
        <w:rPr>
          <w:rFonts w:ascii="Times New Roman" w:eastAsia="Georgia" w:hAnsi="Times New Roman" w:cs="Times New Roman"/>
          <w:sz w:val="24"/>
          <w:szCs w:val="24"/>
        </w:rPr>
        <w:t>(</w:t>
      </w:r>
      <w:r w:rsidRPr="00E47A0F">
        <w:rPr>
          <w:rFonts w:ascii="Times New Roman" w:eastAsia="Times New Roman" w:hAnsi="Times New Roman" w:cs="Times New Roman"/>
          <w:sz w:val="24"/>
          <w:szCs w:val="24"/>
        </w:rPr>
        <w:t>2014</w:t>
      </w:r>
      <w:r w:rsidR="00656DAB" w:rsidRPr="00E47A0F">
        <w:rPr>
          <w:rFonts w:ascii="Times New Roman" w:eastAsia="Times New Roman" w:hAnsi="Times New Roman" w:cs="Times New Roman"/>
          <w:sz w:val="24"/>
          <w:szCs w:val="24"/>
        </w:rPr>
        <w:t>)</w:t>
      </w:r>
      <w:r w:rsidRPr="00E47A0F">
        <w:rPr>
          <w:rFonts w:ascii="Times New Roman" w:eastAsia="Times New Roman" w:hAnsi="Times New Roman" w:cs="Times New Roman"/>
          <w:sz w:val="24"/>
          <w:szCs w:val="24"/>
        </w:rPr>
        <w:t xml:space="preserve">.  Power and Resistance: Indentured Labour in Colonial Natal, 1860–1911. </w:t>
      </w:r>
      <w:r w:rsidR="00687828" w:rsidRPr="00E47A0F">
        <w:rPr>
          <w:rFonts w:ascii="Times New Roman" w:eastAsia="Times New Roman" w:hAnsi="Times New Roman" w:cs="Times New Roman"/>
          <w:sz w:val="24"/>
          <w:szCs w:val="24"/>
        </w:rPr>
        <w:t xml:space="preserve">In M. S. Hassankhan., B. V. Lal, and D. Munro. (Eds.).  </w:t>
      </w:r>
      <w:r w:rsidR="00687828" w:rsidRPr="00E47A0F">
        <w:rPr>
          <w:rFonts w:ascii="Times New Roman" w:eastAsia="Times New Roman" w:hAnsi="Times New Roman" w:cs="Times New Roman"/>
          <w:i/>
          <w:iCs/>
          <w:sz w:val="24"/>
          <w:szCs w:val="24"/>
        </w:rPr>
        <w:t xml:space="preserve">Resistance and Indian </w:t>
      </w:r>
      <w:r w:rsidR="00687828" w:rsidRPr="00E47A0F">
        <w:rPr>
          <w:rFonts w:ascii="Times New Roman" w:eastAsia="Times New Roman" w:hAnsi="Times New Roman" w:cs="Times New Roman"/>
          <w:i/>
          <w:iCs/>
          <w:sz w:val="24"/>
          <w:szCs w:val="24"/>
        </w:rPr>
        <w:lastRenderedPageBreak/>
        <w:t xml:space="preserve">Indenture Experience: Comparative Perspectives </w:t>
      </w:r>
      <w:r w:rsidR="00687828" w:rsidRPr="00E47A0F">
        <w:rPr>
          <w:rFonts w:ascii="Times New Roman" w:eastAsia="Times New Roman" w:hAnsi="Times New Roman" w:cs="Times New Roman"/>
          <w:sz w:val="24"/>
          <w:szCs w:val="24"/>
        </w:rPr>
        <w:t xml:space="preserve">(pp. 95-120).  New Delhi: Manohar Publishers.  </w:t>
      </w:r>
    </w:p>
    <w:p w14:paraId="34B7AB68" w14:textId="570521C0" w:rsidR="00610903" w:rsidRPr="00E47A0F" w:rsidRDefault="00610903" w:rsidP="008036F8">
      <w:pPr>
        <w:spacing w:line="360" w:lineRule="auto"/>
        <w:ind w:left="720" w:hanging="720"/>
        <w:contextualSpacing/>
        <w:jc w:val="both"/>
        <w:rPr>
          <w:rFonts w:ascii="Times New Roman" w:hAnsi="Times New Roman" w:cs="Times New Roman"/>
          <w:sz w:val="24"/>
          <w:szCs w:val="24"/>
          <w:shd w:val="clear" w:color="auto" w:fill="FFFFFF"/>
        </w:rPr>
      </w:pPr>
      <w:r w:rsidRPr="00E47A0F">
        <w:rPr>
          <w:rFonts w:ascii="Times New Roman" w:hAnsi="Times New Roman" w:cs="Times New Roman"/>
          <w:sz w:val="24"/>
          <w:szCs w:val="24"/>
          <w:shd w:val="clear" w:color="auto" w:fill="FFFFFF"/>
        </w:rPr>
        <w:t>World Health Organization. (2010).</w:t>
      </w:r>
      <w:r w:rsidR="005C7FE5" w:rsidRPr="00E47A0F">
        <w:rPr>
          <w:rFonts w:ascii="Times New Roman" w:hAnsi="Times New Roman" w:cs="Times New Roman"/>
          <w:sz w:val="24"/>
          <w:szCs w:val="24"/>
          <w:shd w:val="clear" w:color="auto" w:fill="FFFFFF"/>
        </w:rPr>
        <w:t xml:space="preserve"> </w:t>
      </w:r>
      <w:r w:rsidRPr="00E47A0F">
        <w:rPr>
          <w:rFonts w:ascii="Times New Roman" w:hAnsi="Times New Roman" w:cs="Times New Roman"/>
          <w:sz w:val="24"/>
          <w:szCs w:val="24"/>
          <w:shd w:val="clear" w:color="auto" w:fill="FFFFFF"/>
        </w:rPr>
        <w:t xml:space="preserve"> </w:t>
      </w:r>
      <w:r w:rsidRPr="00E47A0F">
        <w:rPr>
          <w:rFonts w:ascii="Times New Roman" w:hAnsi="Times New Roman" w:cs="Times New Roman"/>
          <w:i/>
          <w:sz w:val="24"/>
          <w:szCs w:val="24"/>
          <w:shd w:val="clear" w:color="auto" w:fill="FFFFFF"/>
        </w:rPr>
        <w:t>A conceptual framework for action on the social determinants of health</w:t>
      </w:r>
      <w:r w:rsidR="005C7FE5" w:rsidRPr="00E47A0F">
        <w:rPr>
          <w:rFonts w:ascii="Times New Roman" w:hAnsi="Times New Roman" w:cs="Times New Roman"/>
          <w:sz w:val="24"/>
          <w:szCs w:val="24"/>
          <w:shd w:val="clear" w:color="auto" w:fill="FFFFFF"/>
        </w:rPr>
        <w:t>.  Geneva: World Health Organization</w:t>
      </w:r>
      <w:r w:rsidR="005C7FE5" w:rsidRPr="00E47A0F">
        <w:rPr>
          <w:rFonts w:ascii="Times New Roman" w:hAnsi="Times New Roman" w:cs="Times New Roman"/>
          <w:sz w:val="24"/>
          <w:szCs w:val="24"/>
        </w:rPr>
        <w:t xml:space="preserve">.  </w:t>
      </w:r>
    </w:p>
    <w:p w14:paraId="0537979E" w14:textId="77777777" w:rsidR="00610903" w:rsidRPr="00E47A0F" w:rsidRDefault="00610903" w:rsidP="008036F8">
      <w:pPr>
        <w:spacing w:line="360" w:lineRule="auto"/>
        <w:ind w:left="720" w:hanging="720"/>
        <w:contextualSpacing/>
        <w:jc w:val="both"/>
        <w:rPr>
          <w:rFonts w:ascii="Times New Roman" w:hAnsi="Times New Roman" w:cs="Times New Roman"/>
          <w:sz w:val="24"/>
          <w:szCs w:val="24"/>
          <w:shd w:val="clear" w:color="auto" w:fill="FFFFFF"/>
        </w:rPr>
      </w:pPr>
      <w:r w:rsidRPr="00E47A0F">
        <w:rPr>
          <w:rFonts w:ascii="Times New Roman" w:hAnsi="Times New Roman" w:cs="Times New Roman"/>
          <w:sz w:val="24"/>
          <w:szCs w:val="24"/>
          <w:shd w:val="clear" w:color="auto" w:fill="FFFFFF"/>
        </w:rPr>
        <w:t>Yoshikawa, H., Aber, J. L., &amp; Beardslee, W. R. (2012). The effects of poverty on the mental, emotional, and behavioral health of children and youth: implications for prevention. </w:t>
      </w:r>
      <w:r w:rsidRPr="00E47A0F">
        <w:rPr>
          <w:rFonts w:ascii="Times New Roman" w:hAnsi="Times New Roman" w:cs="Times New Roman"/>
          <w:i/>
          <w:iCs/>
          <w:sz w:val="24"/>
          <w:szCs w:val="24"/>
          <w:shd w:val="clear" w:color="auto" w:fill="FFFFFF"/>
        </w:rPr>
        <w:t>American Psychologist</w:t>
      </w:r>
      <w:r w:rsidRPr="00E47A0F">
        <w:rPr>
          <w:rFonts w:ascii="Times New Roman" w:hAnsi="Times New Roman" w:cs="Times New Roman"/>
          <w:sz w:val="24"/>
          <w:szCs w:val="24"/>
          <w:shd w:val="clear" w:color="auto" w:fill="FFFFFF"/>
        </w:rPr>
        <w:t>, </w:t>
      </w:r>
      <w:r w:rsidRPr="00E47A0F">
        <w:rPr>
          <w:rFonts w:ascii="Times New Roman" w:hAnsi="Times New Roman" w:cs="Times New Roman"/>
          <w:i/>
          <w:iCs/>
          <w:sz w:val="24"/>
          <w:szCs w:val="24"/>
          <w:shd w:val="clear" w:color="auto" w:fill="FFFFFF"/>
        </w:rPr>
        <w:t>67</w:t>
      </w:r>
      <w:r w:rsidRPr="00E47A0F">
        <w:rPr>
          <w:rFonts w:ascii="Times New Roman" w:hAnsi="Times New Roman" w:cs="Times New Roman"/>
          <w:sz w:val="24"/>
          <w:szCs w:val="24"/>
          <w:shd w:val="clear" w:color="auto" w:fill="FFFFFF"/>
        </w:rPr>
        <w:t>(4), 272.</w:t>
      </w:r>
    </w:p>
    <w:p w14:paraId="314BA9A8" w14:textId="5B60BA3B" w:rsidR="65988FD8" w:rsidRPr="00E47A0F" w:rsidRDefault="65988FD8" w:rsidP="008036F8">
      <w:pPr>
        <w:spacing w:line="360" w:lineRule="auto"/>
        <w:ind w:left="720" w:hanging="720"/>
        <w:contextualSpacing/>
        <w:jc w:val="both"/>
        <w:rPr>
          <w:rFonts w:ascii="Times New Roman" w:eastAsia="Arial" w:hAnsi="Times New Roman" w:cs="Times New Roman"/>
          <w:sz w:val="42"/>
          <w:szCs w:val="42"/>
        </w:rPr>
      </w:pPr>
    </w:p>
    <w:sectPr w:rsidR="65988FD8" w:rsidRPr="00E47A0F">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94345" w14:textId="77777777" w:rsidR="0050376C" w:rsidRDefault="0050376C" w:rsidP="00E000FC">
      <w:pPr>
        <w:spacing w:after="0" w:line="240" w:lineRule="auto"/>
      </w:pPr>
      <w:r>
        <w:separator/>
      </w:r>
    </w:p>
  </w:endnote>
  <w:endnote w:type="continuationSeparator" w:id="0">
    <w:p w14:paraId="4C11F902" w14:textId="77777777" w:rsidR="0050376C" w:rsidRDefault="0050376C" w:rsidP="00E00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646126"/>
      <w:docPartObj>
        <w:docPartGallery w:val="Page Numbers (Bottom of Page)"/>
        <w:docPartUnique/>
      </w:docPartObj>
    </w:sdtPr>
    <w:sdtEndPr>
      <w:rPr>
        <w:noProof/>
      </w:rPr>
    </w:sdtEndPr>
    <w:sdtContent>
      <w:p w14:paraId="2903CBC8" w14:textId="63FA4A97" w:rsidR="00A84EE3" w:rsidRDefault="00A84EE3">
        <w:pPr>
          <w:pStyle w:val="Footer"/>
          <w:jc w:val="right"/>
        </w:pPr>
        <w:r>
          <w:fldChar w:fldCharType="begin"/>
        </w:r>
        <w:r>
          <w:instrText xml:space="preserve"> PAGE   \* MERGEFORMAT </w:instrText>
        </w:r>
        <w:r>
          <w:fldChar w:fldCharType="separate"/>
        </w:r>
        <w:r w:rsidR="00281AC3">
          <w:rPr>
            <w:noProof/>
          </w:rPr>
          <w:t>13</w:t>
        </w:r>
        <w:r>
          <w:rPr>
            <w:noProof/>
          </w:rPr>
          <w:fldChar w:fldCharType="end"/>
        </w:r>
      </w:p>
    </w:sdtContent>
  </w:sdt>
  <w:p w14:paraId="1299C43A" w14:textId="77777777" w:rsidR="00A84EE3" w:rsidRDefault="00A84EE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A8049" w14:textId="77777777" w:rsidR="0050376C" w:rsidRDefault="0050376C" w:rsidP="00E000FC">
      <w:pPr>
        <w:spacing w:after="0" w:line="240" w:lineRule="auto"/>
      </w:pPr>
      <w:r>
        <w:separator/>
      </w:r>
    </w:p>
  </w:footnote>
  <w:footnote w:type="continuationSeparator" w:id="0">
    <w:p w14:paraId="50F3306B" w14:textId="77777777" w:rsidR="0050376C" w:rsidRDefault="0050376C" w:rsidP="00E000FC">
      <w:pPr>
        <w:spacing w:after="0" w:line="240" w:lineRule="auto"/>
      </w:pPr>
      <w:r>
        <w:continuationSeparator/>
      </w:r>
    </w:p>
  </w:footnote>
  <w:footnote w:id="1">
    <w:p w14:paraId="768B3D2E" w14:textId="77777777" w:rsidR="00A56C8F" w:rsidRPr="005F5905" w:rsidRDefault="00A56C8F" w:rsidP="00A56C8F">
      <w:pPr>
        <w:pStyle w:val="FootnoteText"/>
        <w:jc w:val="both"/>
        <w:rPr>
          <w:sz w:val="19"/>
          <w:szCs w:val="19"/>
          <w:lang w:val="en-US"/>
        </w:rPr>
      </w:pPr>
      <w:r w:rsidRPr="005F5905">
        <w:rPr>
          <w:rStyle w:val="FootnoteReference"/>
          <w:sz w:val="19"/>
          <w:szCs w:val="19"/>
        </w:rPr>
        <w:footnoteRef/>
      </w:r>
      <w:r w:rsidRPr="005F5905">
        <w:rPr>
          <w:sz w:val="19"/>
          <w:szCs w:val="19"/>
        </w:rPr>
        <w:t xml:space="preserve"> Taking temporal and spatial location into account allows for an analysis of whether the causal factor of inequality is widespread or situated to a specific context.</w:t>
      </w:r>
    </w:p>
  </w:footnote>
  <w:footnote w:id="2">
    <w:p w14:paraId="4FA2BDE6" w14:textId="77777777" w:rsidR="00841FCF" w:rsidRPr="005F5905" w:rsidRDefault="00841FCF" w:rsidP="00841FCF">
      <w:pPr>
        <w:jc w:val="both"/>
        <w:textAlignment w:val="baseline"/>
        <w:rPr>
          <w:sz w:val="19"/>
          <w:szCs w:val="19"/>
          <w:lang w:eastAsia="en-NZ"/>
        </w:rPr>
      </w:pPr>
      <w:r w:rsidRPr="005F5905">
        <w:rPr>
          <w:rStyle w:val="FootnoteReference"/>
          <w:sz w:val="19"/>
          <w:szCs w:val="19"/>
        </w:rPr>
        <w:footnoteRef/>
      </w:r>
      <w:r w:rsidRPr="005F5905">
        <w:rPr>
          <w:sz w:val="19"/>
          <w:szCs w:val="19"/>
        </w:rPr>
        <w:t xml:space="preserve"> </w:t>
      </w:r>
      <w:r w:rsidRPr="005F5905">
        <w:rPr>
          <w:sz w:val="19"/>
          <w:szCs w:val="19"/>
          <w:lang w:eastAsia="en-NZ"/>
        </w:rPr>
        <w:t>In contrasting the consequences of an act for the agents/perpetrators and victims/recipients it is possible to discuss the place of power and agency in acts of inequity.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11234"/>
    <w:multiLevelType w:val="hybridMultilevel"/>
    <w:tmpl w:val="850A31A2"/>
    <w:lvl w:ilvl="0" w:tplc="7F6A86C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5D216FB"/>
    <w:multiLevelType w:val="hybridMultilevel"/>
    <w:tmpl w:val="DA58E44A"/>
    <w:lvl w:ilvl="0" w:tplc="FFFFFFF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AB35753"/>
    <w:multiLevelType w:val="hybridMultilevel"/>
    <w:tmpl w:val="850A31A2"/>
    <w:lvl w:ilvl="0" w:tplc="7F6A86C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3186792"/>
    <w:multiLevelType w:val="hybridMultilevel"/>
    <w:tmpl w:val="22A45E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438D4C74"/>
    <w:multiLevelType w:val="hybridMultilevel"/>
    <w:tmpl w:val="8F34696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4C286642"/>
    <w:multiLevelType w:val="hybridMultilevel"/>
    <w:tmpl w:val="8B166FC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65E018CD"/>
    <w:multiLevelType w:val="hybridMultilevel"/>
    <w:tmpl w:val="3F68DB1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B737337"/>
    <w:multiLevelType w:val="hybridMultilevel"/>
    <w:tmpl w:val="850A31A2"/>
    <w:lvl w:ilvl="0" w:tplc="7F6A86C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7"/>
  </w:num>
  <w:num w:numId="5">
    <w:abstractNumId w:val="3"/>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3sbC0NDcwszQ1N7FU0lEKTi0uzszPAykwNKsFAFsejlctAAAA"/>
  </w:docVars>
  <w:rsids>
    <w:rsidRoot w:val="00E000FC"/>
    <w:rsid w:val="00013628"/>
    <w:rsid w:val="00043184"/>
    <w:rsid w:val="00044912"/>
    <w:rsid w:val="0004508A"/>
    <w:rsid w:val="00056B87"/>
    <w:rsid w:val="0006104C"/>
    <w:rsid w:val="00070548"/>
    <w:rsid w:val="00070D97"/>
    <w:rsid w:val="0007343F"/>
    <w:rsid w:val="00074F17"/>
    <w:rsid w:val="000755C1"/>
    <w:rsid w:val="000840A4"/>
    <w:rsid w:val="0009278B"/>
    <w:rsid w:val="0009505B"/>
    <w:rsid w:val="000A0ECB"/>
    <w:rsid w:val="000A5B3D"/>
    <w:rsid w:val="000B6576"/>
    <w:rsid w:val="000B6C92"/>
    <w:rsid w:val="000D518C"/>
    <w:rsid w:val="000E6DA6"/>
    <w:rsid w:val="00126A6A"/>
    <w:rsid w:val="001303A5"/>
    <w:rsid w:val="00140D1A"/>
    <w:rsid w:val="00140FE9"/>
    <w:rsid w:val="00157C45"/>
    <w:rsid w:val="001809B4"/>
    <w:rsid w:val="00180F5A"/>
    <w:rsid w:val="00196070"/>
    <w:rsid w:val="001A76F0"/>
    <w:rsid w:val="001B0C36"/>
    <w:rsid w:val="001B51A8"/>
    <w:rsid w:val="001C4A20"/>
    <w:rsid w:val="001E12E9"/>
    <w:rsid w:val="001F1D06"/>
    <w:rsid w:val="001F5EBF"/>
    <w:rsid w:val="00201A2A"/>
    <w:rsid w:val="002455F9"/>
    <w:rsid w:val="00250AC2"/>
    <w:rsid w:val="002648E1"/>
    <w:rsid w:val="00266B1B"/>
    <w:rsid w:val="00275C9F"/>
    <w:rsid w:val="00281AC3"/>
    <w:rsid w:val="00293115"/>
    <w:rsid w:val="002A1941"/>
    <w:rsid w:val="002A2E4C"/>
    <w:rsid w:val="002A305E"/>
    <w:rsid w:val="002A46B3"/>
    <w:rsid w:val="002A4815"/>
    <w:rsid w:val="002A5F94"/>
    <w:rsid w:val="002B222A"/>
    <w:rsid w:val="002B6B98"/>
    <w:rsid w:val="002B75C3"/>
    <w:rsid w:val="002C2B9F"/>
    <w:rsid w:val="002C52FC"/>
    <w:rsid w:val="002C74D8"/>
    <w:rsid w:val="002E12CE"/>
    <w:rsid w:val="002E35B6"/>
    <w:rsid w:val="002E7004"/>
    <w:rsid w:val="002E7920"/>
    <w:rsid w:val="00305543"/>
    <w:rsid w:val="0032746C"/>
    <w:rsid w:val="00363339"/>
    <w:rsid w:val="003667DB"/>
    <w:rsid w:val="00376A65"/>
    <w:rsid w:val="003A4605"/>
    <w:rsid w:val="003A4EC3"/>
    <w:rsid w:val="003B0262"/>
    <w:rsid w:val="003C1A47"/>
    <w:rsid w:val="003C2543"/>
    <w:rsid w:val="003C2687"/>
    <w:rsid w:val="003C4087"/>
    <w:rsid w:val="003C6E28"/>
    <w:rsid w:val="003D3589"/>
    <w:rsid w:val="003E7F18"/>
    <w:rsid w:val="003F12CD"/>
    <w:rsid w:val="00403E6E"/>
    <w:rsid w:val="00404D82"/>
    <w:rsid w:val="00421064"/>
    <w:rsid w:val="00423FF5"/>
    <w:rsid w:val="004336F1"/>
    <w:rsid w:val="004342A4"/>
    <w:rsid w:val="00440135"/>
    <w:rsid w:val="0044619C"/>
    <w:rsid w:val="00447D0F"/>
    <w:rsid w:val="004521EB"/>
    <w:rsid w:val="00462661"/>
    <w:rsid w:val="00465B2B"/>
    <w:rsid w:val="004673E1"/>
    <w:rsid w:val="004702C1"/>
    <w:rsid w:val="00473EE9"/>
    <w:rsid w:val="004760B3"/>
    <w:rsid w:val="00477B5A"/>
    <w:rsid w:val="00480F62"/>
    <w:rsid w:val="004948FD"/>
    <w:rsid w:val="00494A03"/>
    <w:rsid w:val="0049642D"/>
    <w:rsid w:val="00496F23"/>
    <w:rsid w:val="004A03B8"/>
    <w:rsid w:val="004A2DCF"/>
    <w:rsid w:val="004A3591"/>
    <w:rsid w:val="004B00C1"/>
    <w:rsid w:val="004B2311"/>
    <w:rsid w:val="004B4331"/>
    <w:rsid w:val="004B7CC7"/>
    <w:rsid w:val="004C2AD0"/>
    <w:rsid w:val="004C2EC3"/>
    <w:rsid w:val="004C391F"/>
    <w:rsid w:val="004D272A"/>
    <w:rsid w:val="004E2A60"/>
    <w:rsid w:val="004E2C5C"/>
    <w:rsid w:val="004E6B51"/>
    <w:rsid w:val="004F3247"/>
    <w:rsid w:val="0050083D"/>
    <w:rsid w:val="0050376C"/>
    <w:rsid w:val="005168E2"/>
    <w:rsid w:val="00533DEA"/>
    <w:rsid w:val="00547744"/>
    <w:rsid w:val="00550754"/>
    <w:rsid w:val="005534C9"/>
    <w:rsid w:val="00553DA3"/>
    <w:rsid w:val="0055400A"/>
    <w:rsid w:val="005545E6"/>
    <w:rsid w:val="00560A66"/>
    <w:rsid w:val="00563F94"/>
    <w:rsid w:val="0056620C"/>
    <w:rsid w:val="00573966"/>
    <w:rsid w:val="005768D7"/>
    <w:rsid w:val="00583DBD"/>
    <w:rsid w:val="005A7D58"/>
    <w:rsid w:val="005B681A"/>
    <w:rsid w:val="005C45F4"/>
    <w:rsid w:val="005C7FE5"/>
    <w:rsid w:val="005D58C6"/>
    <w:rsid w:val="005E543F"/>
    <w:rsid w:val="005F6374"/>
    <w:rsid w:val="005F654A"/>
    <w:rsid w:val="005F6B7D"/>
    <w:rsid w:val="005F7801"/>
    <w:rsid w:val="00604B4E"/>
    <w:rsid w:val="0060703F"/>
    <w:rsid w:val="00610903"/>
    <w:rsid w:val="00614510"/>
    <w:rsid w:val="00616065"/>
    <w:rsid w:val="00622045"/>
    <w:rsid w:val="00633D58"/>
    <w:rsid w:val="00635B6E"/>
    <w:rsid w:val="00636AF7"/>
    <w:rsid w:val="0064443A"/>
    <w:rsid w:val="0065594B"/>
    <w:rsid w:val="00656DAB"/>
    <w:rsid w:val="0066006F"/>
    <w:rsid w:val="006635B6"/>
    <w:rsid w:val="00675FD3"/>
    <w:rsid w:val="0067778D"/>
    <w:rsid w:val="006810D0"/>
    <w:rsid w:val="00682C45"/>
    <w:rsid w:val="00687828"/>
    <w:rsid w:val="006B2F4A"/>
    <w:rsid w:val="006B3DC8"/>
    <w:rsid w:val="006B6AFC"/>
    <w:rsid w:val="006D1B7D"/>
    <w:rsid w:val="006F2086"/>
    <w:rsid w:val="006F4913"/>
    <w:rsid w:val="00702345"/>
    <w:rsid w:val="00723675"/>
    <w:rsid w:val="0072461F"/>
    <w:rsid w:val="0073041B"/>
    <w:rsid w:val="0073657B"/>
    <w:rsid w:val="00740676"/>
    <w:rsid w:val="00763109"/>
    <w:rsid w:val="007644D6"/>
    <w:rsid w:val="00774DE6"/>
    <w:rsid w:val="007777F0"/>
    <w:rsid w:val="00782A75"/>
    <w:rsid w:val="00786D9A"/>
    <w:rsid w:val="007A1D40"/>
    <w:rsid w:val="007B4721"/>
    <w:rsid w:val="007C0C55"/>
    <w:rsid w:val="007C123C"/>
    <w:rsid w:val="007C6C61"/>
    <w:rsid w:val="007D5168"/>
    <w:rsid w:val="007F089F"/>
    <w:rsid w:val="007F12C6"/>
    <w:rsid w:val="007F399A"/>
    <w:rsid w:val="007F4EA5"/>
    <w:rsid w:val="007F7A51"/>
    <w:rsid w:val="008036F8"/>
    <w:rsid w:val="008117D4"/>
    <w:rsid w:val="00816361"/>
    <w:rsid w:val="00816A9F"/>
    <w:rsid w:val="00821B5E"/>
    <w:rsid w:val="0082243B"/>
    <w:rsid w:val="008226A4"/>
    <w:rsid w:val="00840C9D"/>
    <w:rsid w:val="00841FCF"/>
    <w:rsid w:val="00854C45"/>
    <w:rsid w:val="00856B9B"/>
    <w:rsid w:val="008572FE"/>
    <w:rsid w:val="00866926"/>
    <w:rsid w:val="008A5889"/>
    <w:rsid w:val="008A6699"/>
    <w:rsid w:val="008B4BC5"/>
    <w:rsid w:val="008B5886"/>
    <w:rsid w:val="008C07F6"/>
    <w:rsid w:val="008C25AF"/>
    <w:rsid w:val="008D4349"/>
    <w:rsid w:val="008D7BC4"/>
    <w:rsid w:val="008E1F17"/>
    <w:rsid w:val="008F0D39"/>
    <w:rsid w:val="008F3355"/>
    <w:rsid w:val="008F6C91"/>
    <w:rsid w:val="008F7478"/>
    <w:rsid w:val="00904487"/>
    <w:rsid w:val="0090781E"/>
    <w:rsid w:val="00925C7F"/>
    <w:rsid w:val="009418F8"/>
    <w:rsid w:val="009460CD"/>
    <w:rsid w:val="0098440D"/>
    <w:rsid w:val="009A00F2"/>
    <w:rsid w:val="009A0780"/>
    <w:rsid w:val="009A1531"/>
    <w:rsid w:val="009A1A2C"/>
    <w:rsid w:val="009A5148"/>
    <w:rsid w:val="009A7075"/>
    <w:rsid w:val="009B343F"/>
    <w:rsid w:val="009B6600"/>
    <w:rsid w:val="009D0CE3"/>
    <w:rsid w:val="009D425B"/>
    <w:rsid w:val="009E2E13"/>
    <w:rsid w:val="009E4908"/>
    <w:rsid w:val="009F0243"/>
    <w:rsid w:val="009F0721"/>
    <w:rsid w:val="009F1554"/>
    <w:rsid w:val="009F3288"/>
    <w:rsid w:val="00A13F6F"/>
    <w:rsid w:val="00A20477"/>
    <w:rsid w:val="00A32DC9"/>
    <w:rsid w:val="00A448CC"/>
    <w:rsid w:val="00A52A36"/>
    <w:rsid w:val="00A56C8F"/>
    <w:rsid w:val="00A57FD4"/>
    <w:rsid w:val="00A62E0C"/>
    <w:rsid w:val="00A62E25"/>
    <w:rsid w:val="00A70F46"/>
    <w:rsid w:val="00A84EE3"/>
    <w:rsid w:val="00A85B0E"/>
    <w:rsid w:val="00A973F4"/>
    <w:rsid w:val="00AB1DC1"/>
    <w:rsid w:val="00AB7625"/>
    <w:rsid w:val="00AC3CC2"/>
    <w:rsid w:val="00AD3CC7"/>
    <w:rsid w:val="00AD5A14"/>
    <w:rsid w:val="00AF1597"/>
    <w:rsid w:val="00AF4C31"/>
    <w:rsid w:val="00B01CD4"/>
    <w:rsid w:val="00B01D6E"/>
    <w:rsid w:val="00B03D24"/>
    <w:rsid w:val="00B26A67"/>
    <w:rsid w:val="00B27655"/>
    <w:rsid w:val="00B346A3"/>
    <w:rsid w:val="00B46734"/>
    <w:rsid w:val="00B4757A"/>
    <w:rsid w:val="00B50FC9"/>
    <w:rsid w:val="00B77196"/>
    <w:rsid w:val="00B815C1"/>
    <w:rsid w:val="00BA34B3"/>
    <w:rsid w:val="00BB5005"/>
    <w:rsid w:val="00BC42F7"/>
    <w:rsid w:val="00BD0C55"/>
    <w:rsid w:val="00BE083F"/>
    <w:rsid w:val="00BE3C41"/>
    <w:rsid w:val="00BE5A73"/>
    <w:rsid w:val="00BF153B"/>
    <w:rsid w:val="00C07081"/>
    <w:rsid w:val="00C07F0E"/>
    <w:rsid w:val="00C206BD"/>
    <w:rsid w:val="00C20A4E"/>
    <w:rsid w:val="00C23FFC"/>
    <w:rsid w:val="00C320EA"/>
    <w:rsid w:val="00C37AFF"/>
    <w:rsid w:val="00C41409"/>
    <w:rsid w:val="00C52FA5"/>
    <w:rsid w:val="00C652FD"/>
    <w:rsid w:val="00C74951"/>
    <w:rsid w:val="00C823C7"/>
    <w:rsid w:val="00C851EE"/>
    <w:rsid w:val="00C9691F"/>
    <w:rsid w:val="00C97F6E"/>
    <w:rsid w:val="00CA5478"/>
    <w:rsid w:val="00CB5A5B"/>
    <w:rsid w:val="00CB6D3B"/>
    <w:rsid w:val="00CD0094"/>
    <w:rsid w:val="00CD7E0A"/>
    <w:rsid w:val="00CE19AA"/>
    <w:rsid w:val="00D10752"/>
    <w:rsid w:val="00D13CD3"/>
    <w:rsid w:val="00D2271D"/>
    <w:rsid w:val="00D247A0"/>
    <w:rsid w:val="00D25CCF"/>
    <w:rsid w:val="00D34B44"/>
    <w:rsid w:val="00D355FA"/>
    <w:rsid w:val="00D4379C"/>
    <w:rsid w:val="00D51FF6"/>
    <w:rsid w:val="00D5687E"/>
    <w:rsid w:val="00D627BC"/>
    <w:rsid w:val="00D714B5"/>
    <w:rsid w:val="00D75682"/>
    <w:rsid w:val="00D75DCA"/>
    <w:rsid w:val="00D76D58"/>
    <w:rsid w:val="00D77E1C"/>
    <w:rsid w:val="00D84448"/>
    <w:rsid w:val="00D853E3"/>
    <w:rsid w:val="00D862FA"/>
    <w:rsid w:val="00D93D0B"/>
    <w:rsid w:val="00DA6393"/>
    <w:rsid w:val="00DA68C1"/>
    <w:rsid w:val="00DA79C4"/>
    <w:rsid w:val="00DB6A2A"/>
    <w:rsid w:val="00DC4D3C"/>
    <w:rsid w:val="00DD1288"/>
    <w:rsid w:val="00DD58E4"/>
    <w:rsid w:val="00DF1AE2"/>
    <w:rsid w:val="00DF6A27"/>
    <w:rsid w:val="00DF7B44"/>
    <w:rsid w:val="00E000FC"/>
    <w:rsid w:val="00E02AC5"/>
    <w:rsid w:val="00E107CB"/>
    <w:rsid w:val="00E2564C"/>
    <w:rsid w:val="00E35658"/>
    <w:rsid w:val="00E41D25"/>
    <w:rsid w:val="00E43886"/>
    <w:rsid w:val="00E47A0F"/>
    <w:rsid w:val="00E52CB9"/>
    <w:rsid w:val="00E61E5E"/>
    <w:rsid w:val="00E67DCD"/>
    <w:rsid w:val="00E75DD6"/>
    <w:rsid w:val="00E771B4"/>
    <w:rsid w:val="00E8271B"/>
    <w:rsid w:val="00E831F1"/>
    <w:rsid w:val="00E85E4C"/>
    <w:rsid w:val="00E93750"/>
    <w:rsid w:val="00E93985"/>
    <w:rsid w:val="00E94D1B"/>
    <w:rsid w:val="00E97307"/>
    <w:rsid w:val="00EA2E8D"/>
    <w:rsid w:val="00EA74D6"/>
    <w:rsid w:val="00EA7A09"/>
    <w:rsid w:val="00EB2479"/>
    <w:rsid w:val="00EC34BA"/>
    <w:rsid w:val="00EC78F5"/>
    <w:rsid w:val="00EF241F"/>
    <w:rsid w:val="00EF25C9"/>
    <w:rsid w:val="00EF5C61"/>
    <w:rsid w:val="00F06759"/>
    <w:rsid w:val="00F07D1A"/>
    <w:rsid w:val="00F12F1A"/>
    <w:rsid w:val="00F27427"/>
    <w:rsid w:val="00F32014"/>
    <w:rsid w:val="00F36ECF"/>
    <w:rsid w:val="00F419E4"/>
    <w:rsid w:val="00F475BC"/>
    <w:rsid w:val="00F60286"/>
    <w:rsid w:val="00F60C69"/>
    <w:rsid w:val="00F636C6"/>
    <w:rsid w:val="00F66B5F"/>
    <w:rsid w:val="00F76DC2"/>
    <w:rsid w:val="00F84007"/>
    <w:rsid w:val="00FB132E"/>
    <w:rsid w:val="00FB366E"/>
    <w:rsid w:val="00FB466E"/>
    <w:rsid w:val="00FC5281"/>
    <w:rsid w:val="00FE31C8"/>
    <w:rsid w:val="00FF3F28"/>
    <w:rsid w:val="0632A7DB"/>
    <w:rsid w:val="070E8A57"/>
    <w:rsid w:val="26059513"/>
    <w:rsid w:val="4AC41756"/>
    <w:rsid w:val="65988FD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4FDB1"/>
  <w15:chartTrackingRefBased/>
  <w15:docId w15:val="{D4308E86-E3DA-42DE-AE0B-EB432F08C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0FC"/>
  </w:style>
  <w:style w:type="paragraph" w:styleId="Heading1">
    <w:name w:val="heading 1"/>
    <w:basedOn w:val="Normal"/>
    <w:next w:val="Normal"/>
    <w:link w:val="Heading1Char"/>
    <w:uiPriority w:val="9"/>
    <w:qFormat/>
    <w:rsid w:val="00E000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6E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0FC"/>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E000FC"/>
  </w:style>
  <w:style w:type="paragraph" w:styleId="EndnoteText">
    <w:name w:val="endnote text"/>
    <w:basedOn w:val="Normal"/>
    <w:link w:val="EndnoteTextChar"/>
    <w:uiPriority w:val="99"/>
    <w:semiHidden/>
    <w:unhideWhenUsed/>
    <w:rsid w:val="00E000F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00FC"/>
    <w:rPr>
      <w:sz w:val="20"/>
      <w:szCs w:val="20"/>
    </w:rPr>
  </w:style>
  <w:style w:type="character" w:styleId="EndnoteReference">
    <w:name w:val="endnote reference"/>
    <w:basedOn w:val="DefaultParagraphFont"/>
    <w:uiPriority w:val="99"/>
    <w:semiHidden/>
    <w:unhideWhenUsed/>
    <w:rsid w:val="00E000FC"/>
    <w:rPr>
      <w:vertAlign w:val="superscript"/>
    </w:rPr>
  </w:style>
  <w:style w:type="paragraph" w:styleId="ListParagraph">
    <w:name w:val="List Paragraph"/>
    <w:basedOn w:val="Normal"/>
    <w:uiPriority w:val="34"/>
    <w:qFormat/>
    <w:rsid w:val="00AD3CC7"/>
    <w:pPr>
      <w:ind w:left="720"/>
      <w:contextualSpacing/>
    </w:pPr>
  </w:style>
  <w:style w:type="character" w:styleId="Hyperlink">
    <w:name w:val="Hyperlink"/>
    <w:basedOn w:val="DefaultParagraphFont"/>
    <w:uiPriority w:val="99"/>
    <w:unhideWhenUsed/>
    <w:rsid w:val="00AD3CC7"/>
    <w:rPr>
      <w:color w:val="0563C1" w:themeColor="hyperlink"/>
      <w:u w:val="single"/>
    </w:rPr>
  </w:style>
  <w:style w:type="paragraph" w:customStyle="1" w:styleId="paragraph">
    <w:name w:val="paragraph"/>
    <w:basedOn w:val="Normal"/>
    <w:rsid w:val="002C2B9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2C2B9F"/>
  </w:style>
  <w:style w:type="paragraph" w:styleId="Title">
    <w:name w:val="Title"/>
    <w:basedOn w:val="Normal"/>
    <w:next w:val="Normal"/>
    <w:link w:val="TitleChar"/>
    <w:uiPriority w:val="10"/>
    <w:qFormat/>
    <w:rsid w:val="002C2B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2B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2B9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C2B9F"/>
    <w:rPr>
      <w:rFonts w:eastAsiaTheme="minorEastAsia"/>
      <w:color w:val="5A5A5A" w:themeColor="text1" w:themeTint="A5"/>
      <w:spacing w:val="15"/>
    </w:rPr>
  </w:style>
  <w:style w:type="character" w:customStyle="1" w:styleId="gmaildefault">
    <w:name w:val="gmail_default"/>
    <w:basedOn w:val="DefaultParagraphFont"/>
    <w:rsid w:val="00C07F0E"/>
  </w:style>
  <w:style w:type="character" w:customStyle="1" w:styleId="UnresolvedMention1">
    <w:name w:val="Unresolved Mention1"/>
    <w:basedOn w:val="DefaultParagraphFont"/>
    <w:uiPriority w:val="99"/>
    <w:semiHidden/>
    <w:unhideWhenUsed/>
    <w:rsid w:val="00305543"/>
    <w:rPr>
      <w:color w:val="605E5C"/>
      <w:shd w:val="clear" w:color="auto" w:fill="E1DFDD"/>
    </w:rPr>
  </w:style>
  <w:style w:type="character" w:customStyle="1" w:styleId="spellingerror">
    <w:name w:val="spellingerror"/>
    <w:basedOn w:val="DefaultParagraphFont"/>
    <w:rsid w:val="00C823C7"/>
  </w:style>
  <w:style w:type="character" w:customStyle="1" w:styleId="Heading2Char">
    <w:name w:val="Heading 2 Char"/>
    <w:basedOn w:val="DefaultParagraphFont"/>
    <w:link w:val="Heading2"/>
    <w:uiPriority w:val="9"/>
    <w:rsid w:val="003C6E2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84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EE3"/>
  </w:style>
  <w:style w:type="paragraph" w:styleId="Footer">
    <w:name w:val="footer"/>
    <w:basedOn w:val="Normal"/>
    <w:link w:val="FooterChar"/>
    <w:uiPriority w:val="99"/>
    <w:unhideWhenUsed/>
    <w:rsid w:val="00A84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EE3"/>
  </w:style>
  <w:style w:type="character" w:customStyle="1" w:styleId="contextualspellingandgrammarerror">
    <w:name w:val="contextualspellingandgrammarerror"/>
    <w:basedOn w:val="DefaultParagraphFont"/>
    <w:rsid w:val="00610903"/>
  </w:style>
  <w:style w:type="paragraph" w:styleId="BalloonText">
    <w:name w:val="Balloon Text"/>
    <w:basedOn w:val="Normal"/>
    <w:link w:val="BalloonTextChar"/>
    <w:uiPriority w:val="99"/>
    <w:semiHidden/>
    <w:unhideWhenUsed/>
    <w:rsid w:val="001809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9B4"/>
    <w:rPr>
      <w:rFonts w:ascii="Segoe UI" w:hAnsi="Segoe UI" w:cs="Segoe UI"/>
      <w:sz w:val="18"/>
      <w:szCs w:val="18"/>
    </w:rPr>
  </w:style>
  <w:style w:type="character" w:styleId="FootnoteReference">
    <w:name w:val="footnote reference"/>
    <w:aliases w:val="ftref,Ref,de nota al pie"/>
    <w:uiPriority w:val="99"/>
    <w:rsid w:val="00A56C8F"/>
    <w:rPr>
      <w:vertAlign w:val="superscript"/>
    </w:rPr>
  </w:style>
  <w:style w:type="paragraph" w:styleId="FootnoteText">
    <w:name w:val="footnote text"/>
    <w:aliases w:val="fn,single space,FOOTNOTES,ADB,WB-Fußnotentext,Footnote,Fußnote,WB-Fuﬂnotentext,Fuﬂnote,Char,Car"/>
    <w:basedOn w:val="Normal"/>
    <w:link w:val="FootnoteTextChar1"/>
    <w:uiPriority w:val="99"/>
    <w:rsid w:val="00A56C8F"/>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uiPriority w:val="99"/>
    <w:semiHidden/>
    <w:rsid w:val="00A56C8F"/>
    <w:rPr>
      <w:sz w:val="20"/>
      <w:szCs w:val="20"/>
    </w:rPr>
  </w:style>
  <w:style w:type="character" w:customStyle="1" w:styleId="FootnoteTextChar1">
    <w:name w:val="Footnote Text Char1"/>
    <w:aliases w:val="fn Char,single space Char,FOOTNOTES Char,ADB Char,WB-Fußnotentext Char,Footnote Char,Fußnote Char,WB-Fuﬂnotentext Char,Fuﬂnote Char,Char Char,Car Char"/>
    <w:link w:val="FootnoteText"/>
    <w:uiPriority w:val="99"/>
    <w:rsid w:val="00A56C8F"/>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56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jech.bmj.com/content/jech/55/10/693.full.pdf" TargetMode="External"/><Relationship Id="rId4" Type="http://schemas.openxmlformats.org/officeDocument/2006/relationships/settings" Target="settings.xml"/><Relationship Id="rId9" Type="http://schemas.openxmlformats.org/officeDocument/2006/relationships/hyperlink" Target="https://farzanagounder.com/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51F8-DC4B-48FF-A9DD-254BC5937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6996</Words>
  <Characters>39878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LAC</Company>
  <LinksUpToDate>false</LinksUpToDate>
  <CharactersWithSpaces>46781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 Gou</dc:creator>
  <cp:keywords/>
  <dc:description/>
  <cp:lastModifiedBy>Farzana Gounder</cp:lastModifiedBy>
  <cp:revision>2</cp:revision>
  <cp:lastPrinted>2019-05-30T21:29:00Z</cp:lastPrinted>
  <dcterms:created xsi:type="dcterms:W3CDTF">2021-10-04T03:27:00Z</dcterms:created>
  <dcterms:modified xsi:type="dcterms:W3CDTF">2021-10-04T03:27:00Z</dcterms:modified>
</cp:coreProperties>
</file>